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宋体" w:cs="Times New Roman"/>
          <w:bCs/>
          <w:spacing w:val="20"/>
          <w:szCs w:val="21"/>
        </w:rPr>
      </w:pPr>
      <w:bookmarkStart w:id="61" w:name="_GoBack"/>
      <w:bookmarkEnd w:id="61"/>
    </w:p>
    <w:p>
      <w:pPr>
        <w:spacing w:line="360" w:lineRule="auto"/>
        <w:rPr>
          <w:rFonts w:hint="default" w:ascii="Times New Roman" w:hAnsi="Times New Roman" w:eastAsia="宋体" w:cs="Times New Roman"/>
          <w:bCs/>
          <w:spacing w:val="20"/>
          <w:szCs w:val="21"/>
        </w:rPr>
      </w:pPr>
    </w:p>
    <w:p>
      <w:pPr>
        <w:spacing w:line="360" w:lineRule="auto"/>
        <w:rPr>
          <w:rFonts w:hint="default" w:ascii="Times New Roman" w:hAnsi="Times New Roman" w:eastAsia="宋体" w:cs="Times New Roman"/>
          <w:bCs/>
          <w:spacing w:val="20"/>
          <w:szCs w:val="20"/>
        </w:rPr>
      </w:pPr>
    </w:p>
    <w:p>
      <w:pPr>
        <w:pStyle w:val="4"/>
        <w:spacing w:before="120" w:after="120" w:line="360" w:lineRule="auto"/>
        <w:rPr>
          <w:rFonts w:hint="default" w:ascii="Times New Roman" w:hAnsi="Times New Roman" w:eastAsia="黑体" w:cs="Times New Roman"/>
          <w:sz w:val="56"/>
          <w:szCs w:val="56"/>
        </w:rPr>
      </w:pPr>
      <w:bookmarkStart w:id="0" w:name="_Toc9297"/>
      <w:bookmarkStart w:id="1" w:name="_Toc4146"/>
      <w:bookmarkStart w:id="2" w:name="_Toc135074017"/>
      <w:bookmarkStart w:id="3" w:name="_Toc131067383"/>
      <w:bookmarkStart w:id="4" w:name="_Toc27857"/>
      <w:bookmarkStart w:id="5" w:name="_Toc2610"/>
      <w:bookmarkStart w:id="6" w:name="_Hlk129183419"/>
      <w:bookmarkStart w:id="7" w:name="_Toc30536"/>
      <w:bookmarkStart w:id="8" w:name="_Toc19890"/>
      <w:bookmarkStart w:id="9" w:name="_Toc28994"/>
      <w:bookmarkStart w:id="10" w:name="_Toc18280"/>
      <w:bookmarkStart w:id="11" w:name="_Toc142900738"/>
      <w:bookmarkStart w:id="12" w:name="_Toc15286"/>
      <w:bookmarkStart w:id="13" w:name="_Toc24990"/>
      <w:bookmarkStart w:id="14" w:name="_Toc129244152"/>
      <w:bookmarkStart w:id="15" w:name="_Toc175306499"/>
      <w:bookmarkStart w:id="16" w:name="_Toc150161519"/>
      <w:bookmarkStart w:id="17" w:name="_Toc24233"/>
      <w:bookmarkStart w:id="18" w:name="_Toc137742546"/>
      <w:bookmarkStart w:id="19" w:name="_Toc31508"/>
      <w:bookmarkStart w:id="20" w:name="_Toc13163"/>
      <w:r>
        <w:rPr>
          <w:rFonts w:hint="default" w:ascii="Times New Roman" w:hAnsi="Times New Roman" w:eastAsia="黑体" w:cs="Times New Roman"/>
          <w:sz w:val="56"/>
          <w:szCs w:val="56"/>
        </w:rPr>
        <w:t>广州市农田灌溉发展规划</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4"/>
        <w:spacing w:before="120" w:after="120" w:line="360" w:lineRule="auto"/>
        <w:rPr>
          <w:rFonts w:hint="default" w:ascii="Times New Roman" w:hAnsi="Times New Roman" w:eastAsia="黑体" w:cs="Times New Roman"/>
          <w:szCs w:val="44"/>
        </w:rPr>
      </w:pPr>
      <w:bookmarkStart w:id="21" w:name="_Toc7163"/>
      <w:bookmarkStart w:id="22" w:name="_Toc4869"/>
      <w:bookmarkStart w:id="23" w:name="_Toc31776"/>
      <w:bookmarkStart w:id="24" w:name="_Toc1321"/>
      <w:r>
        <w:rPr>
          <w:rFonts w:hint="default" w:ascii="Times New Roman" w:hAnsi="Times New Roman" w:eastAsia="黑体" w:cs="Times New Roman"/>
          <w:szCs w:val="44"/>
        </w:rPr>
        <w:t>（公众版）</w:t>
      </w:r>
      <w:bookmarkEnd w:id="21"/>
      <w:bookmarkEnd w:id="22"/>
      <w:bookmarkEnd w:id="23"/>
      <w:bookmarkEnd w:id="24"/>
    </w:p>
    <w:p>
      <w:pPr>
        <w:spacing w:line="360" w:lineRule="auto"/>
        <w:ind w:left="180"/>
        <w:rPr>
          <w:rFonts w:hint="default" w:ascii="Times New Roman" w:hAnsi="Times New Roman" w:eastAsia="宋体" w:cs="Times New Roman"/>
          <w:bCs/>
          <w:spacing w:val="20"/>
          <w:sz w:val="24"/>
          <w:szCs w:val="20"/>
        </w:rPr>
      </w:pPr>
    </w:p>
    <w:p>
      <w:pPr>
        <w:spacing w:line="360" w:lineRule="auto"/>
        <w:ind w:left="180"/>
        <w:rPr>
          <w:rFonts w:hint="default" w:ascii="Times New Roman" w:hAnsi="Times New Roman" w:eastAsia="宋体" w:cs="Times New Roman"/>
          <w:bCs/>
          <w:spacing w:val="20"/>
          <w:sz w:val="24"/>
          <w:szCs w:val="20"/>
        </w:rPr>
      </w:pPr>
    </w:p>
    <w:p>
      <w:pPr>
        <w:spacing w:line="360" w:lineRule="auto"/>
        <w:ind w:left="180"/>
        <w:rPr>
          <w:rFonts w:hint="default" w:ascii="Times New Roman" w:hAnsi="Times New Roman" w:eastAsia="宋体" w:cs="Times New Roman"/>
          <w:bCs/>
          <w:spacing w:val="20"/>
          <w:sz w:val="24"/>
          <w:szCs w:val="20"/>
        </w:rPr>
      </w:pPr>
    </w:p>
    <w:p>
      <w:pPr>
        <w:ind w:left="180"/>
        <w:rPr>
          <w:rFonts w:hint="default" w:ascii="Times New Roman" w:hAnsi="Times New Roman" w:eastAsia="宋体" w:cs="Times New Roman"/>
          <w:bCs/>
          <w:spacing w:val="20"/>
          <w:sz w:val="24"/>
          <w:szCs w:val="20"/>
        </w:rPr>
      </w:pPr>
    </w:p>
    <w:p>
      <w:pPr>
        <w:ind w:left="180"/>
        <w:rPr>
          <w:rFonts w:hint="default" w:ascii="Times New Roman" w:hAnsi="Times New Roman" w:eastAsia="宋体" w:cs="Times New Roman"/>
          <w:bCs/>
          <w:spacing w:val="20"/>
          <w:sz w:val="24"/>
          <w:szCs w:val="20"/>
        </w:rPr>
      </w:pPr>
    </w:p>
    <w:p>
      <w:pPr>
        <w:ind w:left="180"/>
        <w:rPr>
          <w:rFonts w:hint="default" w:ascii="Times New Roman" w:hAnsi="Times New Roman" w:eastAsia="宋体" w:cs="Times New Roman"/>
          <w:bCs/>
          <w:spacing w:val="20"/>
          <w:sz w:val="24"/>
          <w:szCs w:val="20"/>
        </w:rPr>
      </w:pPr>
    </w:p>
    <w:p>
      <w:pPr>
        <w:ind w:left="180"/>
        <w:rPr>
          <w:rFonts w:hint="default" w:ascii="Times New Roman" w:hAnsi="Times New Roman" w:eastAsia="宋体" w:cs="Times New Roman"/>
          <w:bCs/>
          <w:spacing w:val="20"/>
          <w:sz w:val="24"/>
          <w:szCs w:val="20"/>
        </w:rPr>
      </w:pPr>
    </w:p>
    <w:p>
      <w:pPr>
        <w:ind w:left="180"/>
        <w:rPr>
          <w:rFonts w:hint="default" w:ascii="Times New Roman" w:hAnsi="Times New Roman" w:eastAsia="宋体" w:cs="Times New Roman"/>
          <w:bCs/>
          <w:spacing w:val="20"/>
          <w:sz w:val="24"/>
          <w:szCs w:val="20"/>
        </w:rPr>
      </w:pPr>
    </w:p>
    <w:p>
      <w:pPr>
        <w:ind w:left="180"/>
        <w:rPr>
          <w:rFonts w:hint="default" w:ascii="Times New Roman" w:hAnsi="Times New Roman" w:eastAsia="宋体" w:cs="Times New Roman"/>
          <w:bCs/>
          <w:spacing w:val="20"/>
          <w:sz w:val="24"/>
          <w:szCs w:val="20"/>
        </w:rPr>
      </w:pPr>
    </w:p>
    <w:p>
      <w:pPr>
        <w:ind w:left="180"/>
        <w:rPr>
          <w:rFonts w:hint="default" w:ascii="Times New Roman" w:hAnsi="Times New Roman" w:eastAsia="宋体" w:cs="Times New Roman"/>
          <w:bCs/>
          <w:spacing w:val="20"/>
          <w:sz w:val="24"/>
          <w:szCs w:val="20"/>
        </w:rPr>
      </w:pPr>
    </w:p>
    <w:p>
      <w:pPr>
        <w:rPr>
          <w:rFonts w:hint="default" w:ascii="Times New Roman" w:hAnsi="Times New Roman" w:eastAsia="宋体" w:cs="Times New Roman"/>
          <w:bCs/>
          <w:spacing w:val="20"/>
          <w:sz w:val="24"/>
          <w:szCs w:val="20"/>
        </w:rPr>
      </w:pPr>
    </w:p>
    <w:p>
      <w:pPr>
        <w:ind w:left="180"/>
        <w:rPr>
          <w:rFonts w:hint="default" w:ascii="Times New Roman" w:hAnsi="Times New Roman" w:eastAsia="宋体" w:cs="Times New Roman"/>
          <w:bCs/>
          <w:spacing w:val="20"/>
          <w:sz w:val="24"/>
          <w:szCs w:val="20"/>
        </w:rPr>
      </w:pPr>
    </w:p>
    <w:p>
      <w:pPr>
        <w:ind w:left="180"/>
        <w:rPr>
          <w:rFonts w:hint="default" w:ascii="Times New Roman" w:hAnsi="Times New Roman" w:eastAsia="宋体" w:cs="Times New Roman"/>
          <w:bCs/>
          <w:spacing w:val="20"/>
          <w:sz w:val="24"/>
          <w:szCs w:val="20"/>
        </w:rPr>
      </w:pPr>
    </w:p>
    <w:p>
      <w:pPr>
        <w:rPr>
          <w:rFonts w:hint="default" w:ascii="Times New Roman" w:hAnsi="Times New Roman" w:eastAsia="宋体" w:cs="Times New Roman"/>
          <w:bCs/>
          <w:spacing w:val="20"/>
          <w:sz w:val="24"/>
          <w:szCs w:val="20"/>
        </w:rPr>
      </w:pPr>
    </w:p>
    <w:p>
      <w:pPr>
        <w:rPr>
          <w:rFonts w:hint="default" w:ascii="Times New Roman" w:hAnsi="Times New Roman" w:eastAsia="宋体" w:cs="Times New Roman"/>
          <w:bCs/>
          <w:spacing w:val="20"/>
          <w:sz w:val="24"/>
          <w:szCs w:val="20"/>
        </w:rPr>
      </w:pPr>
    </w:p>
    <w:p>
      <w:pPr>
        <w:rPr>
          <w:rFonts w:hint="default" w:ascii="Times New Roman" w:hAnsi="Times New Roman" w:eastAsia="宋体" w:cs="Times New Roman"/>
          <w:b/>
          <w:sz w:val="32"/>
          <w:szCs w:val="32"/>
        </w:rPr>
      </w:pPr>
    </w:p>
    <w:p>
      <w:pPr>
        <w:spacing w:line="360" w:lineRule="auto"/>
        <w:jc w:val="center"/>
        <w:rPr>
          <w:rFonts w:hint="default" w:ascii="Times New Roman" w:hAnsi="Times New Roman" w:eastAsia="黑体" w:cs="Times New Roman"/>
          <w:b/>
          <w:sz w:val="30"/>
          <w:szCs w:val="30"/>
        </w:rPr>
      </w:pPr>
    </w:p>
    <w:p>
      <w:pPr>
        <w:spacing w:line="360" w:lineRule="auto"/>
        <w:jc w:val="center"/>
        <w:rPr>
          <w:rFonts w:hint="default" w:ascii="Times New Roman" w:hAnsi="Times New Roman" w:eastAsia="黑体" w:cs="Times New Roman"/>
          <w:b/>
          <w:sz w:val="30"/>
          <w:szCs w:val="30"/>
        </w:rPr>
      </w:pPr>
    </w:p>
    <w:p>
      <w:pPr>
        <w:spacing w:line="360" w:lineRule="auto"/>
        <w:rPr>
          <w:rFonts w:hint="default" w:ascii="Times New Roman" w:hAnsi="Times New Roman" w:eastAsia="黑体" w:cs="Times New Roman"/>
          <w:b/>
          <w:sz w:val="30"/>
          <w:szCs w:val="30"/>
        </w:rPr>
      </w:pPr>
    </w:p>
    <w:p>
      <w:pPr>
        <w:spacing w:line="360" w:lineRule="auto"/>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广州市水务局</w:t>
      </w:r>
    </w:p>
    <w:p>
      <w:pPr>
        <w:jc w:val="center"/>
        <w:rPr>
          <w:rFonts w:hint="default" w:ascii="Times New Roman" w:hAnsi="Times New Roman" w:eastAsia="黑体" w:cs="Times New Roman"/>
          <w:b/>
          <w:bCs/>
          <w:kern w:val="0"/>
          <w:sz w:val="32"/>
          <w:szCs w:val="32"/>
        </w:rPr>
        <w:sectPr>
          <w:headerReference r:id="rId5" w:type="first"/>
          <w:footerReference r:id="rId8" w:type="first"/>
          <w:footerReference r:id="rId6" w:type="default"/>
          <w:headerReference r:id="rId4" w:type="even"/>
          <w:footerReference r:id="rId7" w:type="even"/>
          <w:pgSz w:w="11905" w:h="16838"/>
          <w:pgMar w:top="2098" w:right="1474" w:bottom="1984" w:left="1587" w:header="851" w:footer="992" w:gutter="0"/>
          <w:pgNumType w:fmt="lowerRoman" w:start="1"/>
          <w:cols w:space="0" w:num="1"/>
          <w:docGrid w:type="lines" w:linePitch="316" w:charSpace="0"/>
        </w:sectPr>
      </w:pPr>
      <w:r>
        <w:rPr>
          <w:rFonts w:hint="default" w:ascii="Times New Roman" w:hAnsi="Times New Roman" w:eastAsia="黑体" w:cs="Times New Roman"/>
          <w:b/>
          <w:bCs/>
          <w:kern w:val="0"/>
          <w:sz w:val="32"/>
          <w:szCs w:val="32"/>
        </w:rPr>
        <w:t>2025年12月</w:t>
      </w:r>
    </w:p>
    <w:p>
      <w:pPr>
        <w:spacing w:line="572" w:lineRule="exact"/>
        <w:jc w:val="center"/>
        <w:rPr>
          <w:rFonts w:hint="default" w:ascii="Times New Roman" w:hAnsi="Times New Roman" w:eastAsia="宋体" w:cs="Times New Roman"/>
          <w:b/>
          <w:bCs/>
          <w:kern w:val="0"/>
          <w:sz w:val="24"/>
          <w:szCs w:val="24"/>
          <w:lang w:val="en-US" w:eastAsia="zh-CN" w:bidi="ar-SA"/>
        </w:rPr>
      </w:pPr>
      <w:r>
        <w:rPr>
          <w:rFonts w:hint="default" w:ascii="Times New Roman" w:hAnsi="Times New Roman" w:eastAsia="黑体" w:cs="Times New Roman"/>
          <w:sz w:val="36"/>
          <w:szCs w:val="36"/>
        </w:rPr>
        <w:t>目  录</w:t>
      </w:r>
      <w:r>
        <w:rPr>
          <w:rFonts w:hint="default" w:ascii="Times New Roman" w:hAnsi="Times New Roman" w:eastAsia="宋体" w:cs="Times New Roman"/>
          <w:bCs/>
          <w:sz w:val="24"/>
        </w:rPr>
        <w:fldChar w:fldCharType="begin"/>
      </w:r>
      <w:r>
        <w:rPr>
          <w:rFonts w:hint="default" w:ascii="Times New Roman" w:hAnsi="Times New Roman" w:eastAsia="宋体" w:cs="Times New Roman"/>
          <w:bCs/>
          <w:sz w:val="24"/>
        </w:rPr>
        <w:instrText xml:space="preserve"> TOC \o "1-3" \h \z \u </w:instrText>
      </w:r>
      <w:r>
        <w:rPr>
          <w:rFonts w:hint="default" w:ascii="Times New Roman" w:hAnsi="Times New Roman" w:eastAsia="宋体" w:cs="Times New Roman"/>
          <w:bCs/>
          <w:sz w:val="24"/>
        </w:rPr>
        <w:fldChar w:fldCharType="separate"/>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_Toc17502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黑体" w:cs="Times New Roman"/>
          <w:bCs/>
          <w:sz w:val="28"/>
          <w:szCs w:val="28"/>
        </w:rPr>
        <w:t>一、 现状与形势</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_Toc17502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_Toc20577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rPr>
        <w:t>（一）灌溉发展现状及成就</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_Toc20577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_Toc27012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rPr>
        <w:t>（二）灌溉发展存在的问题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_Toc27012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_Toc16514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rPr>
        <w:t>（三）灌溉发展面临的现实需求</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_Toc16514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_Toc1668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黑体" w:cs="Times New Roman"/>
          <w:bCs/>
          <w:sz w:val="28"/>
          <w:szCs w:val="28"/>
        </w:rPr>
        <w:t>二、 水土资源平衡分析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_Toc1668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_Toc31996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黑体" w:cs="Times New Roman"/>
          <w:bCs/>
          <w:sz w:val="28"/>
          <w:szCs w:val="28"/>
        </w:rPr>
        <w:t>三、 总体要求</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_Toc31996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_Toc973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一</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规划思路</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_Toc973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_Toc9633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二</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规划范围及水平年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_Toc9633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_Toc32385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三</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发展目标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_Toc32385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_Toc21818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四</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规划布局</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_Toc21818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_Toc6064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黑体" w:cs="Times New Roman"/>
          <w:bCs/>
          <w:sz w:val="28"/>
          <w:szCs w:val="28"/>
        </w:rPr>
        <w:t>四、 主要建设任务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_Toc6064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_Toc31839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一</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灌溉水源挖潜与新建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_Toc31839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_Toc2635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二</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中型灌区改造</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_Toc2635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_Toc11276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三</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新建中型灌区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_Toc11276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_Toc9707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四</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小型农田水利建设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_Toc9707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_Toc5592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五</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高标准农田的水利设施建设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_Toc5592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_Toc31906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六</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数字孪生灌区建设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_Toc31906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_Toc30463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黑体" w:cs="Times New Roman"/>
          <w:bCs/>
          <w:sz w:val="28"/>
          <w:szCs w:val="28"/>
        </w:rPr>
        <w:t>五、 主要管理任务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_Toc30463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_Toc17512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一</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建管投入机制创新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_Toc17512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_Toc3228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二</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科技创新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_Toc3228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2" w:lineRule="exact"/>
        <w:textAlignment w:val="auto"/>
        <w:rPr>
          <w:rFonts w:hint="default" w:ascii="Times New Roman" w:hAnsi="Times New Roman" w:cs="Times New Roman"/>
          <w:sz w:val="28"/>
          <w:szCs w:val="28"/>
        </w:rPr>
      </w:pPr>
      <w:r>
        <w:rPr>
          <w:rFonts w:hint="default" w:ascii="Times New Roman" w:hAnsi="Times New Roman" w:eastAsia="宋体" w:cs="Times New Roman"/>
          <w:bCs/>
          <w:kern w:val="0"/>
          <w:sz w:val="28"/>
          <w:szCs w:val="28"/>
        </w:rPr>
        <w:fldChar w:fldCharType="begin"/>
      </w:r>
      <w:r>
        <w:rPr>
          <w:rFonts w:hint="default" w:ascii="Times New Roman" w:hAnsi="Times New Roman" w:eastAsia="宋体" w:cs="Times New Roman"/>
          <w:bCs/>
          <w:kern w:val="0"/>
          <w:sz w:val="28"/>
          <w:szCs w:val="28"/>
        </w:rPr>
        <w:instrText xml:space="preserve"> HYPERLINK \l _Toc12520 </w:instrText>
      </w:r>
      <w:r>
        <w:rPr>
          <w:rFonts w:hint="default" w:ascii="Times New Roman" w:hAnsi="Times New Roman" w:eastAsia="宋体" w:cs="Times New Roman"/>
          <w:bCs/>
          <w:kern w:val="0"/>
          <w:sz w:val="28"/>
          <w:szCs w:val="28"/>
        </w:rPr>
        <w:fldChar w:fldCharType="separate"/>
      </w:r>
      <w:r>
        <w:rPr>
          <w:rFonts w:hint="default" w:ascii="Times New Roman" w:hAnsi="Times New Roman" w:eastAsia="黑体" w:cs="Times New Roman"/>
          <w:bCs/>
          <w:sz w:val="28"/>
          <w:szCs w:val="28"/>
        </w:rPr>
        <w:t>六、 保障措施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_Toc12520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eastAsia="宋体" w:cs="Times New Roman"/>
          <w:bCs/>
          <w:kern w:val="0"/>
          <w:sz w:val="28"/>
          <w:szCs w:val="28"/>
        </w:rPr>
        <w:fldChar w:fldCharType="end"/>
      </w:r>
    </w:p>
    <w:p>
      <w:pPr>
        <w:spacing w:line="572" w:lineRule="exact"/>
        <w:jc w:val="center"/>
        <w:rPr>
          <w:rFonts w:hint="default" w:ascii="Times New Roman" w:hAnsi="Times New Roman" w:eastAsia="宋体" w:cs="Times New Roman"/>
          <w:b/>
          <w:bCs/>
          <w:kern w:val="0"/>
          <w:sz w:val="24"/>
        </w:rPr>
        <w:sectPr>
          <w:footerReference r:id="rId9" w:type="default"/>
          <w:pgSz w:w="11905" w:h="16838"/>
          <w:pgMar w:top="2098" w:right="1474" w:bottom="1984" w:left="1587" w:header="851" w:footer="992" w:gutter="0"/>
          <w:pgNumType w:start="1"/>
          <w:cols w:space="0" w:num="1"/>
          <w:docGrid w:type="lines" w:linePitch="316" w:charSpace="0"/>
        </w:sectPr>
      </w:pPr>
      <w:r>
        <w:rPr>
          <w:rFonts w:hint="default" w:ascii="Times New Roman" w:hAnsi="Times New Roman" w:eastAsia="宋体" w:cs="Times New Roman"/>
          <w:b/>
          <w:bCs/>
          <w:kern w:val="0"/>
          <w:sz w:val="24"/>
        </w:rPr>
        <w:fldChar w:fldCharType="end"/>
      </w:r>
    </w:p>
    <w:p>
      <w:pPr>
        <w:numPr>
          <w:ilvl w:val="0"/>
          <w:numId w:val="2"/>
        </w:numPr>
        <w:spacing w:before="158" w:beforeLines="50" w:after="158" w:afterLines="50" w:line="572" w:lineRule="exact"/>
        <w:ind w:firstLine="640" w:firstLineChars="200"/>
        <w:jc w:val="left"/>
        <w:outlineLvl w:val="1"/>
        <w:rPr>
          <w:rFonts w:hint="default" w:ascii="Times New Roman" w:hAnsi="Times New Roman" w:eastAsia="黑体" w:cs="Times New Roman"/>
          <w:bCs/>
          <w:sz w:val="32"/>
          <w:szCs w:val="32"/>
        </w:rPr>
      </w:pPr>
      <w:bookmarkStart w:id="25" w:name="_Toc17502"/>
      <w:r>
        <w:rPr>
          <w:rFonts w:hint="default" w:ascii="Times New Roman" w:hAnsi="Times New Roman" w:eastAsia="黑体" w:cs="Times New Roman"/>
          <w:bCs/>
          <w:sz w:val="32"/>
          <w:szCs w:val="32"/>
        </w:rPr>
        <w:t>现状与形势</w:t>
      </w:r>
      <w:bookmarkEnd w:id="25"/>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26" w:name="_Toc20577"/>
      <w:r>
        <w:rPr>
          <w:rFonts w:hint="default" w:ascii="Times New Roman" w:hAnsi="Times New Roman" w:eastAsia="楷体" w:cs="Times New Roman"/>
          <w:sz w:val="32"/>
          <w:szCs w:val="32"/>
        </w:rPr>
        <w:t>（一）灌溉发展现状及成就</w:t>
      </w:r>
      <w:bookmarkEnd w:id="26"/>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广州市地处珠江三角洲，重点发展都市现代农业和观光休闲农业。2021年全市总灌溉面积103.51万亩，其中耕地灌溉面积73.71万亩</w:t>
      </w:r>
      <w:bookmarkStart w:id="27" w:name="OLE_LINK1"/>
      <w:r>
        <w:rPr>
          <w:rFonts w:hint="default" w:ascii="Times New Roman" w:hAnsi="Times New Roman" w:eastAsia="仿宋_GB2312" w:cs="Times New Roman"/>
          <w:bCs/>
          <w:sz w:val="32"/>
          <w:szCs w:val="32"/>
        </w:rPr>
        <w:t>；无已建大型灌区，现有中型灌区12宗</w:t>
      </w:r>
      <w:r>
        <w:rPr>
          <w:rStyle w:val="18"/>
          <w:rFonts w:hint="default" w:ascii="Times New Roman" w:hAnsi="Times New Roman" w:eastAsia="方正仿宋_GB2312" w:cs="Times New Roman"/>
          <w:bCs/>
          <w:sz w:val="32"/>
          <w:szCs w:val="32"/>
        </w:rPr>
        <w:footnoteReference w:id="0"/>
      </w:r>
      <w:r>
        <w:rPr>
          <w:rFonts w:hint="default" w:ascii="Times New Roman" w:hAnsi="Times New Roman" w:eastAsia="仿宋_GB2312" w:cs="Times New Roman"/>
          <w:bCs/>
          <w:sz w:val="32"/>
          <w:szCs w:val="32"/>
        </w:rPr>
        <w:t>，</w:t>
      </w:r>
      <w:bookmarkEnd w:id="27"/>
      <w:r>
        <w:rPr>
          <w:rFonts w:hint="default" w:ascii="Times New Roman" w:hAnsi="Times New Roman" w:eastAsia="仿宋_GB2312" w:cs="Times New Roman"/>
          <w:bCs/>
          <w:sz w:val="32"/>
          <w:szCs w:val="32"/>
        </w:rPr>
        <w:t>总设计灌溉面积39.90万亩。“十二五”以来，通过灌区节水改造、高标准农田建设与农田水利建设，提升了骨干渠道输水能力，灌溉水有效利用系数提高至0.521，保障了都市农业用水需求。</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28" w:name="_Toc27012"/>
      <w:bookmarkStart w:id="29" w:name="_Toc32347"/>
      <w:r>
        <w:rPr>
          <w:rFonts w:hint="default" w:ascii="Times New Roman" w:hAnsi="Times New Roman" w:eastAsia="楷体" w:cs="Times New Roman"/>
          <w:sz w:val="32"/>
          <w:szCs w:val="32"/>
        </w:rPr>
        <w:t>（二）灌溉发展存在的问题</w:t>
      </w:r>
      <w:bookmarkEnd w:id="28"/>
      <w:bookmarkEnd w:id="29"/>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一是灌排设施改造系统性不足</w:t>
      </w:r>
      <w:r>
        <w:rPr>
          <w:rFonts w:hint="default" w:ascii="Times New Roman" w:hAnsi="Times New Roman" w:eastAsia="仿宋_GB2312" w:cs="Times New Roman"/>
          <w:bCs/>
          <w:sz w:val="32"/>
          <w:szCs w:val="32"/>
        </w:rPr>
        <w:t>。因早期建设标准低且缺乏规划，中型灌区灌排设施改造零散，高标准农田建设存在骨干与田间工程衔接不充分问题，如朱村街道片区影响增城丝苗米规模化发展。</w:t>
      </w:r>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二是农业节水建设有待深化</w:t>
      </w:r>
      <w:r>
        <w:rPr>
          <w:rFonts w:hint="default" w:ascii="Times New Roman" w:hAnsi="Times New Roman" w:eastAsia="仿宋_GB2312" w:cs="Times New Roman"/>
          <w:bCs/>
          <w:sz w:val="32"/>
          <w:szCs w:val="32"/>
        </w:rPr>
        <w:t>。灌溉用水效率和节水灌溉率与国内外先进指标有差距，农田灌溉水有效利用系数也低于珠三角其他市。小型农田水利建设区域和末级渠系用水计量覆盖率低，不利于总量控制和定额管理。</w:t>
      </w:r>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三是灌排工程管理能力不足</w:t>
      </w:r>
      <w:r>
        <w:rPr>
          <w:rFonts w:hint="default" w:ascii="Times New Roman" w:hAnsi="Times New Roman" w:eastAsia="仿宋_GB2312" w:cs="Times New Roman"/>
          <w:bCs/>
          <w:sz w:val="32"/>
          <w:szCs w:val="32"/>
        </w:rPr>
        <w:t>。中型灌区运行管理模式和手段相对较薄弱，数字化、自动化水平低，部分多水源灌区缺乏统一调度；小型农田水利工程多数无专门管理机构，管护经费难落实。</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30" w:name="_Toc16514"/>
      <w:bookmarkStart w:id="31" w:name="_Toc2270"/>
      <w:r>
        <w:rPr>
          <w:rFonts w:hint="default" w:ascii="Times New Roman" w:hAnsi="Times New Roman" w:eastAsia="楷体" w:cs="Times New Roman"/>
          <w:sz w:val="32"/>
          <w:szCs w:val="32"/>
        </w:rPr>
        <w:t>（三）灌溉发展面临的现实需求</w:t>
      </w:r>
      <w:bookmarkEnd w:id="30"/>
      <w:bookmarkEnd w:id="31"/>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方正仿宋_GB2312" w:cs="Times New Roman"/>
          <w:b/>
          <w:sz w:val="32"/>
          <w:szCs w:val="32"/>
        </w:rPr>
        <w:t>一是保障粮食安全要求更高协调的灌溉保障。</w:t>
      </w:r>
      <w:r>
        <w:rPr>
          <w:rFonts w:hint="default" w:ascii="Times New Roman" w:hAnsi="Times New Roman" w:eastAsia="仿宋_GB2312" w:cs="Times New Roman"/>
          <w:bCs/>
          <w:sz w:val="32"/>
          <w:szCs w:val="32"/>
        </w:rPr>
        <w:t>全市耕地面积增加潜力有限，需通过水源配套、中型灌区新建和改造、高标准农田建设等提升农田灌排保障能力，确保农田灌溉效益。</w:t>
      </w:r>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方正仿宋_GB2312" w:cs="Times New Roman"/>
          <w:b/>
          <w:sz w:val="32"/>
          <w:szCs w:val="32"/>
        </w:rPr>
        <w:t>二是水利高质量发展要求更高标准的灌溉保障。</w:t>
      </w:r>
      <w:r>
        <w:rPr>
          <w:rFonts w:hint="default" w:ascii="Times New Roman" w:hAnsi="Times New Roman" w:eastAsia="方正仿宋_GB2312" w:cs="Times New Roman"/>
          <w:bCs/>
          <w:sz w:val="32"/>
          <w:szCs w:val="32"/>
        </w:rPr>
        <w:t>全</w:t>
      </w:r>
      <w:r>
        <w:rPr>
          <w:rFonts w:hint="default" w:ascii="Times New Roman" w:hAnsi="Times New Roman" w:eastAsia="仿宋_GB2312" w:cs="Times New Roman"/>
          <w:bCs/>
          <w:sz w:val="32"/>
          <w:szCs w:val="32"/>
        </w:rPr>
        <w:t>市要加大农业节水力度，完善现代农业产业园水利配套设施建设、加强灌区节水改造和现代化建设和加快小型水利工程建设，系统谋划全市灌排体系，实现农田水利高质量发展。</w:t>
      </w:r>
    </w:p>
    <w:p>
      <w:pPr>
        <w:spacing w:line="572" w:lineRule="exact"/>
        <w:ind w:firstLine="643"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方正仿宋_GB2312" w:cs="Times New Roman"/>
          <w:b/>
          <w:sz w:val="32"/>
          <w:szCs w:val="32"/>
        </w:rPr>
        <w:t>三是推进乡村全面振兴加快推进农业现代化要求更高效益的灌溉保障。</w:t>
      </w:r>
      <w:r>
        <w:rPr>
          <w:rFonts w:hint="default" w:ascii="Times New Roman" w:hAnsi="Times New Roman" w:eastAsia="仿宋_GB2312" w:cs="Times New Roman"/>
          <w:bCs/>
          <w:sz w:val="32"/>
          <w:szCs w:val="32"/>
        </w:rPr>
        <w:t>以永久基本农田、粮食生产功能区为重点区域实施高标准农田建设，完善高标准农田建设项目覆盖不到区域的农田水利基础设施，系统性完善灌溉排水</w:t>
      </w:r>
      <w:r>
        <w:rPr>
          <w:rFonts w:hint="default" w:ascii="Times New Roman" w:hAnsi="Times New Roman" w:eastAsia="仿宋_GB2312" w:cs="Times New Roman"/>
          <w:bCs/>
          <w:color w:val="000000" w:themeColor="text1"/>
          <w:sz w:val="32"/>
          <w:szCs w:val="32"/>
          <w14:textFill>
            <w14:solidFill>
              <w14:schemeClr w14:val="tx1"/>
            </w14:solidFill>
          </w14:textFill>
        </w:rPr>
        <w:t>基础设施，提升区域整体灌排标准，建设效益更高、保障能力更强的灌溉保障体系。</w:t>
      </w:r>
    </w:p>
    <w:p>
      <w:pPr>
        <w:numPr>
          <w:ilvl w:val="0"/>
          <w:numId w:val="2"/>
        </w:numPr>
        <w:spacing w:before="158" w:beforeLines="50" w:after="158" w:afterLines="50" w:line="572" w:lineRule="exact"/>
        <w:ind w:firstLine="640" w:firstLineChars="200"/>
        <w:jc w:val="left"/>
        <w:outlineLvl w:val="1"/>
        <w:rPr>
          <w:rFonts w:hint="default" w:ascii="Times New Roman" w:hAnsi="Times New Roman" w:eastAsia="黑体" w:cs="Times New Roman"/>
          <w:bCs/>
          <w:sz w:val="32"/>
          <w:szCs w:val="32"/>
        </w:rPr>
      </w:pPr>
      <w:bookmarkStart w:id="32" w:name="_Toc1668"/>
      <w:r>
        <w:rPr>
          <w:rFonts w:hint="default" w:ascii="Times New Roman" w:hAnsi="Times New Roman" w:eastAsia="黑体" w:cs="Times New Roman"/>
          <w:bCs/>
          <w:sz w:val="32"/>
          <w:szCs w:val="32"/>
        </w:rPr>
        <w:t>水土资源平衡分析</w:t>
      </w:r>
      <w:bookmarkEnd w:id="32"/>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规划按照“节水优先、空间均衡、系统治理、两手发力”的治水思路，围绕控制总量、提升效率的总体要求，全面落实国家、省节水行动，全市农田灌溉水利用系数持续提高，农业用水量维持在现状水平以下。</w:t>
      </w:r>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rPr>
        <w:t>农田灌溉水有效利用系数</w:t>
      </w:r>
      <w:r>
        <w:rPr>
          <w:rFonts w:hint="default" w:ascii="Times New Roman" w:hAnsi="Times New Roman" w:eastAsia="仿宋_GB2312" w:cs="Times New Roman"/>
          <w:bCs/>
          <w:sz w:val="32"/>
          <w:szCs w:val="32"/>
        </w:rPr>
        <w:t>。规划至2035年全市农田灌溉水有效利用系数</w:t>
      </w:r>
      <w:r>
        <w:rPr>
          <w:rFonts w:hint="default" w:ascii="Times New Roman" w:hAnsi="Times New Roman" w:eastAsia="仿宋_GB2312" w:cs="Times New Roman"/>
          <w:bCs/>
          <w:sz w:val="32"/>
          <w:szCs w:val="32"/>
          <w:lang w:val="en-US" w:eastAsia="zh-CN"/>
        </w:rPr>
        <w:t>稳步</w:t>
      </w:r>
      <w:r>
        <w:rPr>
          <w:rFonts w:hint="default" w:ascii="Times New Roman" w:hAnsi="Times New Roman" w:eastAsia="仿宋_GB2312" w:cs="Times New Roman"/>
          <w:bCs/>
          <w:sz w:val="32"/>
          <w:szCs w:val="32"/>
        </w:rPr>
        <w:t>提高，最终以省级下达指标为准。</w:t>
      </w:r>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rPr>
        <w:t>灌溉可供水量</w:t>
      </w:r>
      <w:r>
        <w:rPr>
          <w:rFonts w:hint="default" w:ascii="Times New Roman" w:hAnsi="Times New Roman" w:eastAsia="仿宋_GB2312" w:cs="Times New Roman"/>
          <w:bCs/>
          <w:sz w:val="32"/>
          <w:szCs w:val="32"/>
        </w:rPr>
        <w:t>。规划2035年灌溉面积基本维持在现状水平，随着农业节水水平的提高，灌溉需水量进一步降低，未来可供水量足以支撑全市的灌溉面积的灌溉，且灌溉保证率会进一步提高。</w:t>
      </w:r>
    </w:p>
    <w:p>
      <w:pPr>
        <w:widowControl/>
        <w:numPr>
          <w:ilvl w:val="255"/>
          <w:numId w:val="0"/>
        </w:numPr>
        <w:spacing w:line="576" w:lineRule="exact"/>
        <w:ind w:firstLine="643" w:firstLineChars="200"/>
        <w:jc w:val="left"/>
        <w:outlineLvl w:val="9"/>
        <w:rPr>
          <w:rFonts w:hint="default" w:ascii="Times New Roman" w:hAnsi="Times New Roman" w:eastAsia="仿宋_GB2312" w:cs="Times New Roman"/>
          <w:bCs/>
          <w:sz w:val="32"/>
          <w:szCs w:val="32"/>
        </w:rPr>
      </w:pPr>
      <w:bookmarkStart w:id="33" w:name="_Toc11763"/>
      <w:r>
        <w:rPr>
          <w:rFonts w:hint="default" w:ascii="Times New Roman" w:hAnsi="Times New Roman" w:eastAsia="仿宋_GB2312" w:cs="Times New Roman"/>
          <w:b/>
          <w:bCs w:val="0"/>
          <w:sz w:val="32"/>
          <w:szCs w:val="32"/>
        </w:rPr>
        <w:t>灌溉发展潜力</w:t>
      </w:r>
      <w:bookmarkEnd w:id="33"/>
      <w:r>
        <w:rPr>
          <w:rFonts w:hint="default" w:ascii="Times New Roman" w:hAnsi="Times New Roman" w:eastAsia="仿宋_GB2312" w:cs="Times New Roman"/>
          <w:b/>
          <w:bCs w:val="0"/>
          <w:sz w:val="32"/>
          <w:szCs w:val="32"/>
        </w:rPr>
        <w:t>分析</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Cs/>
          <w:sz w:val="32"/>
          <w:szCs w:val="32"/>
        </w:rPr>
        <w:t>规划2035年广州市灌溉面积与耕地灌溉率基本维持在现状水平</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按照“提质增效”的发展方向，强化节水工程提档升级、节水技术创新驱动、种植结构优化调整、灌溉水源置换提升，侧重现有灌溉面积巩固增效。</w:t>
      </w:r>
    </w:p>
    <w:p>
      <w:pPr>
        <w:numPr>
          <w:ilvl w:val="0"/>
          <w:numId w:val="2"/>
        </w:numPr>
        <w:spacing w:before="158" w:beforeLines="50" w:after="158" w:afterLines="50" w:line="572" w:lineRule="exact"/>
        <w:ind w:firstLine="640" w:firstLineChars="200"/>
        <w:jc w:val="left"/>
        <w:outlineLvl w:val="1"/>
        <w:rPr>
          <w:rFonts w:hint="default" w:ascii="Times New Roman" w:hAnsi="Times New Roman" w:eastAsia="黑体" w:cs="Times New Roman"/>
          <w:bCs/>
          <w:sz w:val="32"/>
          <w:szCs w:val="32"/>
        </w:rPr>
      </w:pPr>
      <w:bookmarkStart w:id="34" w:name="_Toc31996"/>
      <w:r>
        <w:rPr>
          <w:rFonts w:hint="default" w:ascii="Times New Roman" w:hAnsi="Times New Roman" w:eastAsia="黑体" w:cs="Times New Roman"/>
          <w:bCs/>
          <w:sz w:val="32"/>
          <w:szCs w:val="32"/>
        </w:rPr>
        <w:t>总体要求</w:t>
      </w:r>
      <w:bookmarkEnd w:id="34"/>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深入贯彻党的二十大和二十届历次全会精神，贯彻落实省委、省政府关于实施粮食安全、重要农产品保障战略等决策部署，坚持“十六字”治水思路，以水土资源平衡为基础，以提升农田灌排保障能力为重点，发展节水农业、提高灌溉效益，进一步改善农业生产条件，保障全市农田灌溉需求。</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35" w:name="_Toc1516"/>
      <w:bookmarkStart w:id="36" w:name="_Toc973"/>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规划思路</w:t>
      </w:r>
      <w:bookmarkEnd w:id="35"/>
      <w:bookmarkEnd w:id="36"/>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方正仿宋_GB2312" w:cs="Times New Roman"/>
          <w:b/>
          <w:sz w:val="32"/>
          <w:szCs w:val="32"/>
        </w:rPr>
        <w:t>坚持战略导向、强化支撑。</w:t>
      </w:r>
      <w:r>
        <w:rPr>
          <w:rFonts w:hint="default" w:ascii="Times New Roman" w:hAnsi="Times New Roman" w:eastAsia="仿宋_GB2312" w:cs="Times New Roman"/>
          <w:bCs/>
          <w:sz w:val="32"/>
          <w:szCs w:val="32"/>
        </w:rPr>
        <w:t>聚焦粮食安全、蔬菜保供，充分挖掘改善灌溉条件和增加农田灌溉面积潜力，夯实粮食和重要农产品稳定供给的灌溉基础。</w:t>
      </w:r>
      <w:r>
        <w:rPr>
          <w:rFonts w:hint="default" w:ascii="Times New Roman" w:hAnsi="Times New Roman" w:eastAsia="方正仿宋_GB2312" w:cs="Times New Roman"/>
          <w:b/>
          <w:sz w:val="32"/>
          <w:szCs w:val="32"/>
        </w:rPr>
        <w:t>坚持节水优先、高效利用。</w:t>
      </w:r>
      <w:r>
        <w:rPr>
          <w:rFonts w:hint="default" w:ascii="Times New Roman" w:hAnsi="Times New Roman" w:eastAsia="仿宋_GB2312" w:cs="Times New Roman"/>
          <w:bCs/>
          <w:sz w:val="32"/>
          <w:szCs w:val="32"/>
        </w:rPr>
        <w:t>把节水作为拓展灌溉发展空间的基础，强化农业节水增效，大力发展高效节水灌溉，全力提高灌溉用水的节约集约利用水平。</w:t>
      </w:r>
      <w:r>
        <w:rPr>
          <w:rFonts w:hint="default" w:ascii="Times New Roman" w:hAnsi="Times New Roman" w:eastAsia="方正仿宋_GB2312" w:cs="Times New Roman"/>
          <w:b/>
          <w:sz w:val="32"/>
          <w:szCs w:val="32"/>
        </w:rPr>
        <w:t>坚持水土平衡，科学布局。</w:t>
      </w:r>
      <w:r>
        <w:rPr>
          <w:rFonts w:hint="default" w:ascii="Times New Roman" w:hAnsi="Times New Roman" w:eastAsia="仿宋_GB2312" w:cs="Times New Roman"/>
          <w:bCs/>
          <w:sz w:val="32"/>
          <w:szCs w:val="32"/>
        </w:rPr>
        <w:t>强化水资源刚性约束，统筹考虑灌溉发展需求、水土资源条件，坚持量水而行、以水定地、水土平衡，科学确定灌溉发展规模及布局。</w:t>
      </w:r>
      <w:r>
        <w:rPr>
          <w:rFonts w:hint="default" w:ascii="Times New Roman" w:hAnsi="Times New Roman" w:eastAsia="方正仿宋_GB2312" w:cs="Times New Roman"/>
          <w:b/>
          <w:sz w:val="32"/>
          <w:szCs w:val="32"/>
        </w:rPr>
        <w:t>坚持全面规划、统筹推进。</w:t>
      </w:r>
      <w:r>
        <w:rPr>
          <w:rFonts w:hint="default" w:ascii="Times New Roman" w:hAnsi="Times New Roman" w:eastAsia="仿宋_GB2312" w:cs="Times New Roman"/>
          <w:bCs/>
          <w:sz w:val="32"/>
          <w:szCs w:val="32"/>
        </w:rPr>
        <w:t>坚持水源与灌区、骨干与田间、工程与管理等全面规划，逐步把具备条件的永久基本农田建成高标准农田，协同推进高标准农田及小型农田水利建设。</w:t>
      </w:r>
      <w:r>
        <w:rPr>
          <w:rFonts w:hint="default" w:ascii="Times New Roman" w:hAnsi="Times New Roman" w:eastAsia="方正仿宋_GB2312" w:cs="Times New Roman"/>
          <w:b/>
          <w:sz w:val="32"/>
          <w:szCs w:val="32"/>
        </w:rPr>
        <w:t>坚持创新驱动、持续发展。</w:t>
      </w:r>
      <w:r>
        <w:rPr>
          <w:rFonts w:hint="default" w:ascii="Times New Roman" w:hAnsi="Times New Roman" w:eastAsia="仿宋_GB2312" w:cs="Times New Roman"/>
          <w:bCs/>
          <w:sz w:val="32"/>
          <w:szCs w:val="32"/>
        </w:rPr>
        <w:t>强化体制机制制度科技创新，不断激发灌溉发展活力。全生命周期贯彻智慧水利理念，加快完善灌溉管理体系，提升灌溉管理能力。</w:t>
      </w:r>
      <w:r>
        <w:rPr>
          <w:rFonts w:hint="default" w:ascii="Times New Roman" w:hAnsi="Times New Roman" w:eastAsia="方正仿宋_GB2312" w:cs="Times New Roman"/>
          <w:b/>
          <w:sz w:val="32"/>
          <w:szCs w:val="32"/>
        </w:rPr>
        <w:t>坚持部门协同、形成合力。</w:t>
      </w:r>
      <w:r>
        <w:rPr>
          <w:rFonts w:hint="default" w:ascii="Times New Roman" w:hAnsi="Times New Roman" w:eastAsia="仿宋_GB2312" w:cs="Times New Roman"/>
          <w:bCs/>
          <w:sz w:val="32"/>
          <w:szCs w:val="32"/>
        </w:rPr>
        <w:t>坚持水土田粮生统筹，加强水利、农业农村、自然资源、发展改革、财政等多部门沟通协调，统一部署，共同实施，合力推动灌溉发展。</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37" w:name="_Toc26383"/>
      <w:bookmarkStart w:id="38" w:name="_Toc9633"/>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规划</w:t>
      </w:r>
      <w:bookmarkEnd w:id="37"/>
      <w:r>
        <w:rPr>
          <w:rFonts w:hint="default" w:ascii="Times New Roman" w:hAnsi="Times New Roman" w:eastAsia="楷体" w:cs="Times New Roman"/>
          <w:sz w:val="32"/>
          <w:szCs w:val="32"/>
        </w:rPr>
        <w:t>范围及水平年</w:t>
      </w:r>
      <w:bookmarkEnd w:id="38"/>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越秀区现状已无灌溉面积，规划实施范围为荔湾、海珠、天河、南沙、白云、黄埔、番禺、花都、从化、增城等10个行政区。规划对象为耕地灌溉，兼顾林果地灌溉，统筹考虑灌溉水源、中型灌区、小型农田水利设施与高标准农田等。</w:t>
      </w:r>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为加强与国家、省规划目标的衔接，《规划》以2021年为现状水平年，2035年为规划水平年，规划期为2023—2035年，并做好2025年（近期）、2030年（中期）和2035年（远期）的项目实施安排。</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39" w:name="_Toc32385"/>
      <w:bookmarkStart w:id="40" w:name="_Toc8753"/>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发展目标</w:t>
      </w:r>
      <w:bookmarkEnd w:id="39"/>
      <w:bookmarkEnd w:id="40"/>
    </w:p>
    <w:p>
      <w:pPr>
        <w:spacing w:line="572" w:lineRule="exact"/>
        <w:ind w:firstLine="640" w:firstLineChars="200"/>
        <w:rPr>
          <w:rFonts w:hint="default" w:ascii="Times New Roman" w:hAnsi="Times New Roman" w:eastAsia="仿宋_GB2312" w:cs="Times New Roman"/>
          <w:bCs/>
          <w:sz w:val="32"/>
          <w:szCs w:val="32"/>
        </w:rPr>
      </w:pPr>
      <w:bookmarkStart w:id="41" w:name="_Toc9090"/>
      <w:r>
        <w:rPr>
          <w:rFonts w:hint="default" w:ascii="Times New Roman" w:hAnsi="Times New Roman" w:eastAsia="仿宋_GB2312" w:cs="Times New Roman"/>
          <w:bCs/>
          <w:sz w:val="32"/>
          <w:szCs w:val="32"/>
        </w:rPr>
        <w:t>至2035年，全面构建“设施完善、技术先进、管理科学、用水高效、生态良好、保障有力”的现代化灌溉体系；农田灌排保障能力、农业节水水平、灌溉效益显著提升，与国家粮食安全、重要农产品保障战略相适应的灌溉体系更趋完备，为广州市水利和农业高质量发展提供坚实的支撑。</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42" w:name="_Toc21818"/>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规划布局</w:t>
      </w:r>
      <w:bookmarkEnd w:id="41"/>
      <w:bookmarkEnd w:id="42"/>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结合广州市国土空间规划、农村发展总体布局、灌溉设施布局、农业生产条件等，将全市自北向南划分为北部生态集约灌溉发展区、环城都市高效灌溉发展区和南部河网优化灌溉发展区。</w:t>
      </w:r>
    </w:p>
    <w:p>
      <w:pPr>
        <w:spacing w:line="572"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1.北部生态集约灌溉发展区</w:t>
      </w:r>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涵盖从化、增城、花都区，是重要生态屏障与都市生态承载地。以流溪河、增江为水源，农田多自流灌排，主要设施为水库等。该区域生态优、农业特色鲜明，</w:t>
      </w:r>
      <w:r>
        <w:rPr>
          <w:rFonts w:hint="default" w:ascii="Times New Roman" w:hAnsi="Times New Roman" w:eastAsia="仿宋_GB2312" w:cs="Times New Roman"/>
          <w:bCs/>
          <w:sz w:val="32"/>
          <w:szCs w:val="32"/>
          <w:lang w:val="en-US" w:eastAsia="zh-CN"/>
        </w:rPr>
        <w:t>规划</w:t>
      </w:r>
      <w:r>
        <w:rPr>
          <w:rFonts w:hint="default" w:ascii="Times New Roman" w:hAnsi="Times New Roman" w:eastAsia="仿宋_GB2312" w:cs="Times New Roman"/>
          <w:bCs/>
          <w:sz w:val="32"/>
          <w:szCs w:val="32"/>
        </w:rPr>
        <w:t>推进农田水利工程建设，完善设施，发展节水农业，重点打造“高、精、尖”现代农业与都市休闲农业，创建农业现代化示范区。</w:t>
      </w:r>
    </w:p>
    <w:p>
      <w:pPr>
        <w:spacing w:line="572"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2.环城都市高效灌溉发展区</w:t>
      </w:r>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包括天河等五区，位于都市核心区，是农业水利现代化主引擎。水网密布，以流溪河等为灌溉水源，设施有泵站等。</w:t>
      </w:r>
      <w:r>
        <w:rPr>
          <w:rFonts w:hint="default" w:ascii="Times New Roman" w:hAnsi="Times New Roman" w:eastAsia="仿宋_GB2312" w:cs="Times New Roman"/>
          <w:bCs/>
          <w:sz w:val="32"/>
          <w:szCs w:val="32"/>
          <w:lang w:val="en-US" w:eastAsia="zh-CN"/>
        </w:rPr>
        <w:t>规划</w:t>
      </w:r>
      <w:r>
        <w:rPr>
          <w:rFonts w:hint="default" w:ascii="Times New Roman" w:hAnsi="Times New Roman" w:eastAsia="仿宋_GB2312" w:cs="Times New Roman"/>
          <w:bCs/>
          <w:sz w:val="32"/>
          <w:szCs w:val="32"/>
        </w:rPr>
        <w:t>完善水源工程，加强基础设施建设，推进农村水利高质量发展，治理内涝，重点打造“菜篮子”、推动农业科技创新，创建现代种业产业园。</w:t>
      </w:r>
    </w:p>
    <w:p>
      <w:pPr>
        <w:spacing w:line="572"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3.南部河网优化灌溉发展区</w:t>
      </w:r>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番禺、南沙区位于潮灌潮排区，径流丰富，河涌交错，灌排受制约。重点完善排涝设施，治理内涝，借力经济发展推进水利建设，发展特色农业与观光休闲农业，并按要求调整农业生产类型。</w:t>
      </w:r>
    </w:p>
    <w:p>
      <w:pPr>
        <w:numPr>
          <w:ilvl w:val="0"/>
          <w:numId w:val="2"/>
        </w:numPr>
        <w:spacing w:before="158" w:beforeLines="50" w:after="158" w:afterLines="50" w:line="572" w:lineRule="exact"/>
        <w:ind w:firstLine="640" w:firstLineChars="200"/>
        <w:jc w:val="left"/>
        <w:outlineLvl w:val="1"/>
        <w:rPr>
          <w:rFonts w:hint="default" w:ascii="Times New Roman" w:hAnsi="Times New Roman" w:eastAsia="黑体" w:cs="Times New Roman"/>
          <w:bCs/>
          <w:sz w:val="32"/>
          <w:szCs w:val="32"/>
        </w:rPr>
      </w:pPr>
      <w:bookmarkStart w:id="43" w:name="_Toc6064"/>
      <w:r>
        <w:rPr>
          <w:rFonts w:hint="default" w:ascii="Times New Roman" w:hAnsi="Times New Roman" w:eastAsia="黑体" w:cs="Times New Roman"/>
          <w:bCs/>
          <w:sz w:val="32"/>
          <w:szCs w:val="32"/>
        </w:rPr>
        <w:t>主要建设任务</w:t>
      </w:r>
      <w:bookmarkEnd w:id="43"/>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44" w:name="_Toc31839"/>
      <w:bookmarkStart w:id="45" w:name="_Toc3805"/>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灌溉水源挖潜与新建</w:t>
      </w:r>
      <w:bookmarkEnd w:id="44"/>
      <w:bookmarkEnd w:id="45"/>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重点实施现有灌溉水源工程的扩建、配套与完善，科学规划新建水库工程、山塘等水源工程，同步加强水源统一调配与联合调度能力。特别对以水库、山塘为主要灌溉水源的区域，需制定科学合理的水库及山塘调度制度，充分发挥其调蓄功能，统筹协调防洪与灌溉调度需求，优化配置农业用水资源，提高农田灌溉用水保障程度。</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46" w:name="_Toc2635"/>
      <w:bookmarkStart w:id="47" w:name="_Toc26951"/>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中型灌区改造</w:t>
      </w:r>
      <w:bookmarkEnd w:id="46"/>
      <w:bookmarkEnd w:id="47"/>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以水源改造、渠道防渗建设为重点，提高水源保证率和渠道衬砌率，提高渠系水利用系数和输水环节的水利用系数，节约水资源。继续推进中型灌区改造工作，实施灌区现代化建设试点。</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48" w:name="_Toc10485"/>
      <w:bookmarkStart w:id="49" w:name="_Toc11276"/>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新建中型灌区</w:t>
      </w:r>
      <w:bookmarkEnd w:id="48"/>
      <w:bookmarkEnd w:id="49"/>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规划新建增城区朱村灌区，设计灌溉面积1.80万亩</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建设任务</w:t>
      </w:r>
      <w:r>
        <w:rPr>
          <w:rFonts w:hint="default" w:ascii="Times New Roman" w:hAnsi="Times New Roman" w:eastAsia="仿宋_GB2312" w:cs="Times New Roman"/>
          <w:bCs/>
          <w:sz w:val="32"/>
          <w:szCs w:val="32"/>
          <w:lang w:val="en-US" w:eastAsia="zh-CN"/>
        </w:rPr>
        <w:t>包括</w:t>
      </w:r>
      <w:r>
        <w:rPr>
          <w:rFonts w:hint="default" w:ascii="Times New Roman" w:hAnsi="Times New Roman" w:eastAsia="仿宋_GB2312" w:cs="Times New Roman"/>
          <w:bCs/>
          <w:sz w:val="32"/>
          <w:szCs w:val="32"/>
        </w:rPr>
        <w:t>灌区水源工程、灌排系统、附属建筑物等基础设施改造，同时建设信息化管理系统，提升灌区现代化管理水平。</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50" w:name="_Toc18906"/>
      <w:bookmarkStart w:id="51" w:name="_Toc9707"/>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小型农田水利建设</w:t>
      </w:r>
      <w:bookmarkEnd w:id="50"/>
      <w:bookmarkEnd w:id="51"/>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因地制宜推进小泵站、小塘坝等小型农田水利工程新建与改造，重点补足中型灌区末级渠系覆盖短板，保障灌溉用水末端渠系畅通，着力解决“望天田”问题。项目遵循“成熟一宗、实施一宗”原则，采取竞争性申报形式组织实施，由各区具体负责落实。</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52" w:name="_Toc5592"/>
      <w:bookmarkStart w:id="53" w:name="_Toc8528"/>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高标准农田的水利设施建设</w:t>
      </w:r>
      <w:bookmarkEnd w:id="52"/>
      <w:bookmarkEnd w:id="53"/>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坚持灌区骨干工程与高标准农田的水利设施统筹规划、协同实施，优先将具备水利灌溉条件地区的耕地建成高标准农田，完善田间灌排工程体系</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因地制宜发展管道输水灌溉、喷灌、微灌等高效节水灌溉。</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54" w:name="_Toc31906"/>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六</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数字孪生灌区建设</w:t>
      </w:r>
      <w:bookmarkEnd w:id="54"/>
    </w:p>
    <w:p>
      <w:pPr>
        <w:spacing w:line="572"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以</w:t>
      </w:r>
      <w:r>
        <w:rPr>
          <w:rFonts w:hint="default" w:ascii="Times New Roman" w:hAnsi="Times New Roman" w:eastAsia="仿宋_GB2312" w:cs="Times New Roman"/>
          <w:bCs/>
          <w:sz w:val="32"/>
          <w:szCs w:val="32"/>
        </w:rPr>
        <w:t>白云区流溪河灌区、朱村灌区先行</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构建“天空地”一体化感知体系，完善灌区全域信息网，强化数据底板、模型库与知识库建设，同步推进计量设施、智慧决策系统、闸门自动化监控及信息化管理平台建设。</w:t>
      </w:r>
    </w:p>
    <w:p>
      <w:pPr>
        <w:numPr>
          <w:ilvl w:val="0"/>
          <w:numId w:val="2"/>
        </w:numPr>
        <w:spacing w:before="158" w:beforeLines="50" w:after="158" w:afterLines="50" w:line="572" w:lineRule="exact"/>
        <w:ind w:firstLine="640" w:firstLineChars="200"/>
        <w:jc w:val="left"/>
        <w:outlineLvl w:val="1"/>
        <w:rPr>
          <w:rFonts w:hint="default" w:ascii="Times New Roman" w:hAnsi="Times New Roman" w:eastAsia="黑体" w:cs="Times New Roman"/>
          <w:bCs/>
          <w:sz w:val="32"/>
          <w:szCs w:val="32"/>
        </w:rPr>
      </w:pPr>
      <w:bookmarkStart w:id="55" w:name="_Toc30463"/>
      <w:r>
        <w:rPr>
          <w:rFonts w:hint="default" w:ascii="Times New Roman" w:hAnsi="Times New Roman" w:eastAsia="黑体" w:cs="Times New Roman"/>
          <w:bCs/>
          <w:sz w:val="32"/>
          <w:szCs w:val="32"/>
        </w:rPr>
        <w:t>主要管理任务</w:t>
      </w:r>
      <w:bookmarkEnd w:id="55"/>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56" w:name="_Toc17620"/>
      <w:bookmarkStart w:id="57" w:name="_Toc17512"/>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建管投入机制创新</w:t>
      </w:r>
      <w:bookmarkEnd w:id="56"/>
      <w:bookmarkEnd w:id="57"/>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创新灌区建设机制。</w:t>
      </w:r>
      <w:r>
        <w:rPr>
          <w:rFonts w:hint="default" w:ascii="Times New Roman" w:hAnsi="Times New Roman" w:eastAsia="仿宋_GB2312" w:cs="Times New Roman"/>
          <w:bCs/>
          <w:sz w:val="32"/>
          <w:szCs w:val="32"/>
        </w:rPr>
        <w:t>水利部门</w:t>
      </w:r>
      <w:r>
        <w:rPr>
          <w:rFonts w:hint="default" w:ascii="Times New Roman" w:hAnsi="Times New Roman" w:eastAsia="仿宋_GB2312" w:cs="Times New Roman"/>
          <w:bCs/>
          <w:sz w:val="32"/>
          <w:szCs w:val="32"/>
          <w:lang w:val="en-US" w:eastAsia="zh-CN"/>
        </w:rPr>
        <w:t>与</w:t>
      </w:r>
      <w:r>
        <w:rPr>
          <w:rFonts w:hint="default" w:ascii="Times New Roman" w:hAnsi="Times New Roman" w:eastAsia="仿宋_GB2312" w:cs="Times New Roman"/>
          <w:bCs/>
          <w:sz w:val="32"/>
          <w:szCs w:val="32"/>
        </w:rPr>
        <w:t>农业农村部门分别上下衔接，形成从水源到田间的完整灌排体系。</w:t>
      </w:r>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创新灌区管理制度。</w:t>
      </w:r>
      <w:r>
        <w:rPr>
          <w:rFonts w:hint="default" w:ascii="Times New Roman" w:hAnsi="Times New Roman" w:eastAsia="仿宋_GB2312" w:cs="Times New Roman"/>
          <w:bCs/>
          <w:sz w:val="32"/>
          <w:szCs w:val="32"/>
        </w:rPr>
        <w:t>实现传统灌区管理理念向现代化灌区管理理念转变，改传统的“骨干工程管理”为“灌区管理”，提升灌区整体管理能力和服务水平。</w:t>
      </w:r>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多渠道筹措灌区建设和运行管护资金。</w:t>
      </w:r>
      <w:r>
        <w:rPr>
          <w:rFonts w:hint="default" w:ascii="Times New Roman" w:hAnsi="Times New Roman" w:eastAsia="仿宋_GB2312" w:cs="Times New Roman"/>
          <w:bCs/>
          <w:sz w:val="32"/>
          <w:szCs w:val="32"/>
        </w:rPr>
        <w:t>加大市区财政资金投入</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积极争取中央、省资金支持</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拓宽投融资渠道，引导社会资本参与农田水利工程的建设和管护。</w:t>
      </w:r>
    </w:p>
    <w:p>
      <w:pPr>
        <w:widowControl/>
        <w:numPr>
          <w:ilvl w:val="255"/>
          <w:numId w:val="0"/>
        </w:numPr>
        <w:spacing w:line="576" w:lineRule="exact"/>
        <w:ind w:firstLine="640" w:firstLineChars="200"/>
        <w:jc w:val="left"/>
        <w:outlineLvl w:val="1"/>
        <w:rPr>
          <w:rFonts w:hint="default" w:ascii="Times New Roman" w:hAnsi="Times New Roman" w:eastAsia="楷体" w:cs="Times New Roman"/>
          <w:sz w:val="32"/>
          <w:szCs w:val="32"/>
        </w:rPr>
      </w:pPr>
      <w:bookmarkStart w:id="58" w:name="_Toc3228"/>
      <w:bookmarkStart w:id="59" w:name="_Toc14715"/>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科技创新</w:t>
      </w:r>
      <w:bookmarkEnd w:id="58"/>
      <w:bookmarkEnd w:id="59"/>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实施“互联网+农业灌溉”。</w:t>
      </w:r>
      <w:r>
        <w:rPr>
          <w:rFonts w:hint="default" w:ascii="Times New Roman" w:hAnsi="Times New Roman" w:eastAsia="仿宋_GB2312" w:cs="Times New Roman"/>
          <w:bCs/>
          <w:sz w:val="32"/>
          <w:szCs w:val="32"/>
        </w:rPr>
        <w:t>结合当前数字化、网络化、智能化的“互联网＋”产业新业态，实施“互联网+农业灌溉”。</w:t>
      </w:r>
    </w:p>
    <w:p>
      <w:pPr>
        <w:spacing w:line="572"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加强高效节水灌溉技术与装备研发。</w:t>
      </w:r>
      <w:r>
        <w:rPr>
          <w:rFonts w:hint="default" w:ascii="Times New Roman" w:hAnsi="Times New Roman" w:eastAsia="仿宋_GB2312" w:cs="Times New Roman"/>
          <w:bCs/>
          <w:sz w:val="32"/>
          <w:szCs w:val="32"/>
        </w:rPr>
        <w:t>针对广州特点，建立环境友好型农业灌溉模式，重点研究水肥一体化智能高效节水输配系统，开发适应现代农业发展的灌溉技术与装备。</w:t>
      </w:r>
    </w:p>
    <w:p>
      <w:pPr>
        <w:numPr>
          <w:ilvl w:val="0"/>
          <w:numId w:val="2"/>
        </w:numPr>
        <w:spacing w:before="158" w:beforeLines="50" w:after="158" w:afterLines="50" w:line="572" w:lineRule="exact"/>
        <w:ind w:firstLine="0" w:firstLineChars="0"/>
        <w:jc w:val="left"/>
        <w:outlineLvl w:val="1"/>
        <w:rPr>
          <w:rFonts w:hint="default" w:ascii="Times New Roman" w:hAnsi="Times New Roman" w:eastAsia="黑体" w:cs="Times New Roman"/>
          <w:bCs/>
          <w:sz w:val="32"/>
          <w:szCs w:val="32"/>
        </w:rPr>
      </w:pPr>
      <w:bookmarkStart w:id="60" w:name="_Toc12520"/>
      <w:r>
        <w:rPr>
          <w:rFonts w:hint="default" w:ascii="Times New Roman" w:hAnsi="Times New Roman" w:eastAsia="黑体" w:cs="Times New Roman"/>
          <w:bCs/>
          <w:sz w:val="32"/>
          <w:szCs w:val="32"/>
        </w:rPr>
        <w:t>保障措施</w:t>
      </w:r>
      <w:bookmarkEnd w:id="60"/>
    </w:p>
    <w:p>
      <w:pPr>
        <w:widowControl/>
        <w:numPr>
          <w:ilvl w:val="-1"/>
          <w:numId w:val="0"/>
        </w:numPr>
        <w:spacing w:line="572" w:lineRule="exact"/>
        <w:ind w:firstLine="643" w:firstLineChars="200"/>
        <w:jc w:val="left"/>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sz w:val="32"/>
          <w:szCs w:val="32"/>
        </w:rPr>
        <w:t>加强组织领导</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val="0"/>
          <w:bCs/>
          <w:sz w:val="32"/>
          <w:szCs w:val="32"/>
        </w:rPr>
        <w:t>市级部门做好组织协调指导，各区落实措施。水行政、农业农村、发展改革、财政、自然资源等部门各司其职，对重大项目加强要素统筹与对接，推动落地。</w:t>
      </w:r>
    </w:p>
    <w:p>
      <w:pPr>
        <w:widowControl/>
        <w:numPr>
          <w:ilvl w:val="0"/>
          <w:numId w:val="0"/>
        </w:numPr>
        <w:spacing w:line="572" w:lineRule="exact"/>
        <w:ind w:firstLine="643"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做好资金保障</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Cs/>
          <w:sz w:val="32"/>
          <w:szCs w:val="32"/>
        </w:rPr>
        <w:t>坚持政府主导、市场运作、社会参与、协同推进的原则，积极争取上级资金倾斜，进一步拓宽水务投资渠道，充分调动社会资本参与水务建设管理的积极性。</w:t>
      </w:r>
    </w:p>
    <w:p>
      <w:pPr>
        <w:widowControl/>
        <w:numPr>
          <w:ilvl w:val="0"/>
          <w:numId w:val="0"/>
        </w:numPr>
        <w:spacing w:line="572" w:lineRule="exact"/>
        <w:ind w:firstLine="643"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加强科技保障</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Cs/>
          <w:sz w:val="32"/>
          <w:szCs w:val="32"/>
        </w:rPr>
        <w:t>加大支持力度，加强基础研究和技术研发，推动科技创新与成果转化。整合培训资源，提升相关人员业务能力，为规划实施提供智力支持。</w:t>
      </w:r>
    </w:p>
    <w:p>
      <w:pPr>
        <w:widowControl/>
        <w:numPr>
          <w:ilvl w:val="-1"/>
          <w:numId w:val="0"/>
        </w:numPr>
        <w:spacing w:line="572" w:lineRule="exact"/>
        <w:ind w:firstLine="643" w:firstLineChars="200"/>
        <w:jc w:val="left"/>
        <w:rPr>
          <w:rFonts w:hint="eastAsia" w:ascii="Times New Roman" w:hAnsi="Times New Roman" w:eastAsia="仿宋_GB2312" w:cs="Times New Roman"/>
          <w:b w:val="0"/>
          <w:bCs/>
          <w:sz w:val="32"/>
          <w:szCs w:val="32"/>
          <w:lang w:eastAsia="zh-CN"/>
        </w:rPr>
      </w:pPr>
      <w:r>
        <w:rPr>
          <w:rFonts w:hint="default" w:ascii="Times New Roman" w:hAnsi="Times New Roman" w:eastAsia="仿宋_GB2312" w:cs="Times New Roman"/>
          <w:b/>
          <w:sz w:val="32"/>
          <w:szCs w:val="32"/>
        </w:rPr>
        <w:t>规范建设管理</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val="0"/>
          <w:bCs/>
          <w:sz w:val="32"/>
          <w:szCs w:val="32"/>
        </w:rPr>
        <w:t>建立管理制度体系，强化前期工作，合理确定改造范围等。加强年度计划管理，推行项目法人责任制等制度</w:t>
      </w:r>
      <w:r>
        <w:rPr>
          <w:rFonts w:hint="eastAsia" w:ascii="Times New Roman" w:hAnsi="Times New Roman" w:eastAsia="仿宋_GB2312" w:cs="Times New Roman"/>
          <w:b w:val="0"/>
          <w:bCs/>
          <w:sz w:val="32"/>
          <w:szCs w:val="32"/>
          <w:lang w:eastAsia="zh-CN"/>
        </w:rPr>
        <w:t>。</w:t>
      </w:r>
    </w:p>
    <w:p>
      <w:pPr>
        <w:widowControl/>
        <w:numPr>
          <w:ilvl w:val="-1"/>
          <w:numId w:val="0"/>
        </w:numPr>
        <w:spacing w:line="572" w:lineRule="exact"/>
        <w:ind w:firstLine="643" w:firstLineChars="200"/>
        <w:jc w:val="left"/>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sz w:val="32"/>
          <w:szCs w:val="32"/>
        </w:rPr>
        <w:t>落实跟踪评价</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val="0"/>
          <w:bCs/>
          <w:sz w:val="32"/>
          <w:szCs w:val="32"/>
        </w:rPr>
        <w:t>不定期检查规划实施效果，适时开展中期评估。市级部门加强组织监督，强化公众参与节水宣传，凝聚共建合力。</w:t>
      </w:r>
    </w:p>
    <w:p>
      <w:pPr>
        <w:spacing w:line="572" w:lineRule="exact"/>
        <w:ind w:firstLine="420" w:firstLineChars="200"/>
        <w:rPr>
          <w:rFonts w:hint="default" w:ascii="Times New Roman" w:hAnsi="Times New Roman" w:cs="Times New Roman"/>
          <w:bCs/>
        </w:rPr>
      </w:pPr>
    </w:p>
    <w:sectPr>
      <w:footerReference r:id="rId10" w:type="default"/>
      <w:pgSz w:w="11906" w:h="16838"/>
      <w:pgMar w:top="2098" w:right="1474" w:bottom="1984" w:left="1587" w:header="851" w:footer="992" w:gutter="0"/>
      <w:pgNumType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946C4B-740E-4AD9-A8A7-C2A236995C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BDB051A7-FD40-4947-ACFA-05F4649E0D22}"/>
  </w:font>
  <w:font w:name="楷体">
    <w:panose1 w:val="02010609060101010101"/>
    <w:charset w:val="86"/>
    <w:family w:val="modern"/>
    <w:pitch w:val="default"/>
    <w:sig w:usb0="800002BF" w:usb1="38CF7CFA" w:usb2="00000016" w:usb3="00000000" w:csb0="00040001" w:csb1="00000000"/>
    <w:embedRegular r:id="rId3" w:fontKey="{E6FD95EF-8A83-4163-8802-44EDE46A8005}"/>
  </w:font>
  <w:font w:name="仿宋_GB2312">
    <w:panose1 w:val="02010609030101010101"/>
    <w:charset w:val="86"/>
    <w:family w:val="modern"/>
    <w:pitch w:val="default"/>
    <w:sig w:usb0="00000001" w:usb1="080E0000" w:usb2="00000000" w:usb3="00000000" w:csb0="00040000" w:csb1="00000000"/>
    <w:embedRegular r:id="rId4" w:fontKey="{C28E5C51-1C32-403F-AF68-65BEFD6E53A7}"/>
  </w:font>
  <w:font w:name="方正仿宋_GB2312">
    <w:altName w:val="仿宋"/>
    <w:panose1 w:val="02000000000000000000"/>
    <w:charset w:val="86"/>
    <w:family w:val="auto"/>
    <w:pitch w:val="default"/>
    <w:sig w:usb0="00000000" w:usb1="00000000" w:usb2="00000012" w:usb3="00000000" w:csb0="00040001" w:csb1="00000000"/>
    <w:embedRegular r:id="rId5" w:fontKey="{40834F4B-5E7A-4B95-AE78-14987DCC7D2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rPr>
        <w:rFonts w:ascii="Times New Roman" w:hAnsi="Times New Roman" w:eastAsia="宋体" w:cs="Times New Roman"/>
        <w:bCs/>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jc w:val="left"/>
      <w:rPr>
        <w:rFonts w:ascii="Times New Roman" w:hAnsi="Times New Roman" w:eastAsia="宋体" w:cs="Times New Roman"/>
        <w:bCs/>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jc w:val="left"/>
      <w:rPr>
        <w:rFonts w:ascii="Times New Roman" w:hAnsi="Times New Roman" w:eastAsia="宋体" w:cs="Times New Roman"/>
        <w:bCs/>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rPr>
        <w:rFonts w:ascii="Times New Roman" w:hAnsi="Times New Roman" w:eastAsia="宋体" w:cs="Times New Roman"/>
        <w:bCs/>
        <w:kern w:val="0"/>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jc w:val="center"/>
      <w:rPr>
        <w:rFonts w:ascii="Times New Roman" w:hAnsi="Times New Roman" w:eastAsia="宋体" w:cs="Times New Roman"/>
        <w:bCs/>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ascii="Times New Roman" w:hAnsi="Times New Roman" w:cs="Times New Roman"/>
                              <w:sz w:val="22"/>
                              <w:szCs w:val="22"/>
                            </w:rPr>
                            <w:t xml:space="preserve">—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i</w:t>
                          </w:r>
                          <w:r>
                            <w:rPr>
                              <w:rFonts w:ascii="Times New Roman" w:hAnsi="Times New Roman" w:cs="Times New Roman"/>
                              <w:sz w:val="22"/>
                              <w:szCs w:val="22"/>
                            </w:rPr>
                            <w:fldChar w:fldCharType="end"/>
                          </w:r>
                          <w:r>
                            <w:rPr>
                              <w:rFonts w:ascii="Times New Roman" w:hAnsi="Times New Roman" w:cs="Times New Roman"/>
                              <w:sz w:val="22"/>
                              <w:szCs w:val="2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ascii="Times New Roman" w:hAnsi="Times New Roman" w:cs="Times New Roman"/>
                        <w:sz w:val="22"/>
                        <w:szCs w:val="22"/>
                      </w:rPr>
                      <w:t xml:space="preserve">—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i</w:t>
                    </w:r>
                    <w:r>
                      <w:rPr>
                        <w:rFonts w:ascii="Times New Roman" w:hAnsi="Times New Roman" w:cs="Times New Roman"/>
                        <w:sz w:val="22"/>
                        <w:szCs w:val="22"/>
                      </w:rPr>
                      <w:fldChar w:fldCharType="end"/>
                    </w:r>
                    <w:r>
                      <w:rPr>
                        <w:rFonts w:ascii="Times New Roman" w:hAnsi="Times New Roman" w:cs="Times New Roman"/>
                        <w:sz w:val="22"/>
                        <w:szCs w:val="2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2"/>
        <w:snapToGrid/>
        <w:rPr>
          <w:rFonts w:eastAsia="仿宋_GB2312"/>
        </w:rPr>
      </w:pPr>
      <w:r>
        <w:rPr>
          <w:rStyle w:val="18"/>
          <w:rFonts w:ascii="Times New Roman" w:hAnsi="Times New Roman" w:eastAsia="仿宋_GB2312" w:cs="Times New Roman"/>
          <w:sz w:val="24"/>
        </w:rPr>
        <w:footnoteRef/>
      </w:r>
      <w:r>
        <w:t xml:space="preserve"> </w:t>
      </w:r>
      <w:r>
        <w:rPr>
          <w:rFonts w:ascii="Times New Roman" w:hAnsi="Times New Roman" w:eastAsia="仿宋_GB2312" w:cs="Times New Roman"/>
          <w:sz w:val="24"/>
        </w:rPr>
        <w:t>根据《广东省大中型灌区名录》（2023年底），三坑水库灌区、芙蓉嶂水库灌区、福源水库灌区已于2023年退出中型灌区名录；东湖灌区于2025年退出中型灌区名录</w:t>
      </w:r>
      <w:r>
        <w:rPr>
          <w:rFonts w:hint="eastAsia" w:ascii="Times New Roman" w:hAnsi="Times New Roman" w:eastAsia="仿宋_GB2312" w:cs="Times New Roman"/>
          <w:sz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firstLineChars="200"/>
      <w:jc w:val="center"/>
      <w:rPr>
        <w:rFonts w:ascii="Times New Roman" w:hAnsi="Times New Roman" w:eastAsia="宋体" w:cs="Times New Roman"/>
        <w:bCs/>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Pr>
        <w:rFonts w:ascii="Times New Roman" w:hAnsi="Times New Roman" w:eastAsia="宋体" w:cs="Times New Roman"/>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D6327"/>
    <w:multiLevelType w:val="multilevel"/>
    <w:tmpl w:val="3C1D6327"/>
    <w:lvl w:ilvl="0" w:tentative="0">
      <w:start w:val="1"/>
      <w:numFmt w:val="decimal"/>
      <w:pStyle w:val="3"/>
      <w:lvlText w:val="%1"/>
      <w:lvlJc w:val="left"/>
      <w:pPr>
        <w:tabs>
          <w:tab w:val="left" w:pos="425"/>
        </w:tabs>
        <w:ind w:left="425" w:hanging="425"/>
      </w:pPr>
      <w:rPr>
        <w:rFonts w:hint="eastAsia"/>
      </w:rPr>
    </w:lvl>
    <w:lvl w:ilvl="1" w:tentative="0">
      <w:start w:val="1"/>
      <w:numFmt w:val="decimal"/>
      <w:lvlText w:val="%1.%2"/>
      <w:lvlJc w:val="left"/>
      <w:pPr>
        <w:tabs>
          <w:tab w:val="left" w:pos="993"/>
        </w:tabs>
        <w:ind w:left="993" w:hanging="567"/>
      </w:pPr>
      <w:rPr>
        <w:rFonts w:hint="eastAsia"/>
        <w:lang w:val="en-US"/>
      </w:rPr>
    </w:lvl>
    <w:lvl w:ilvl="2" w:tentative="0">
      <w:start w:val="1"/>
      <w:numFmt w:val="decimal"/>
      <w:lvlText w:val="%1.%2.%3"/>
      <w:lvlJc w:val="left"/>
      <w:pPr>
        <w:tabs>
          <w:tab w:val="left" w:pos="2073"/>
        </w:tabs>
        <w:ind w:left="1560" w:hanging="567"/>
      </w:pPr>
      <w:rPr>
        <w:rFonts w:hint="default" w:ascii="Times New Roman" w:hAnsi="Times New Roman" w:cs="Times New Roman"/>
      </w:rPr>
    </w:lvl>
    <w:lvl w:ilvl="3" w:tentative="0">
      <w:start w:val="1"/>
      <w:numFmt w:val="decimal"/>
      <w:lvlText w:val="%1.%2.%3.%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1">
    <w:nsid w:val="4733E6FD"/>
    <w:multiLevelType w:val="singleLevel"/>
    <w:tmpl w:val="4733E6F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mQ1NGNiZGZhZjI0NGE0NDA4Y2ZkMmU3NDNmMTMifQ=="/>
  </w:docVars>
  <w:rsids>
    <w:rsidRoot w:val="00172A27"/>
    <w:rsid w:val="0016483D"/>
    <w:rsid w:val="00172A27"/>
    <w:rsid w:val="0019202C"/>
    <w:rsid w:val="00293521"/>
    <w:rsid w:val="003F3394"/>
    <w:rsid w:val="004049C1"/>
    <w:rsid w:val="00415CC0"/>
    <w:rsid w:val="0043212C"/>
    <w:rsid w:val="00556656"/>
    <w:rsid w:val="005A0E8A"/>
    <w:rsid w:val="005A5B8A"/>
    <w:rsid w:val="00652164"/>
    <w:rsid w:val="007674FF"/>
    <w:rsid w:val="007771F3"/>
    <w:rsid w:val="007A6DA5"/>
    <w:rsid w:val="007A6F63"/>
    <w:rsid w:val="007D40AE"/>
    <w:rsid w:val="00851376"/>
    <w:rsid w:val="008F7D82"/>
    <w:rsid w:val="00943050"/>
    <w:rsid w:val="00944A78"/>
    <w:rsid w:val="0097419E"/>
    <w:rsid w:val="00A24B62"/>
    <w:rsid w:val="00AA5AD0"/>
    <w:rsid w:val="00BF5C06"/>
    <w:rsid w:val="00D057B7"/>
    <w:rsid w:val="00D850DD"/>
    <w:rsid w:val="00E05711"/>
    <w:rsid w:val="00E6518B"/>
    <w:rsid w:val="00E90E5D"/>
    <w:rsid w:val="00E9121C"/>
    <w:rsid w:val="00F4384D"/>
    <w:rsid w:val="010D7DD7"/>
    <w:rsid w:val="019127B6"/>
    <w:rsid w:val="023575E5"/>
    <w:rsid w:val="02662658"/>
    <w:rsid w:val="02BA5D3C"/>
    <w:rsid w:val="02BC7E92"/>
    <w:rsid w:val="02FF7BF3"/>
    <w:rsid w:val="030A6C03"/>
    <w:rsid w:val="03142BB1"/>
    <w:rsid w:val="03323E9D"/>
    <w:rsid w:val="038F313C"/>
    <w:rsid w:val="03B46C2F"/>
    <w:rsid w:val="048E41EF"/>
    <w:rsid w:val="049D76C3"/>
    <w:rsid w:val="04D550AF"/>
    <w:rsid w:val="04F423F2"/>
    <w:rsid w:val="052120A3"/>
    <w:rsid w:val="054B35C3"/>
    <w:rsid w:val="054E0356"/>
    <w:rsid w:val="055661F0"/>
    <w:rsid w:val="05FC4B37"/>
    <w:rsid w:val="06330CDE"/>
    <w:rsid w:val="064415F4"/>
    <w:rsid w:val="067B24E6"/>
    <w:rsid w:val="07190FF0"/>
    <w:rsid w:val="077B03BE"/>
    <w:rsid w:val="07D93108"/>
    <w:rsid w:val="08393BA7"/>
    <w:rsid w:val="085E53BC"/>
    <w:rsid w:val="086C7AD9"/>
    <w:rsid w:val="08907C6B"/>
    <w:rsid w:val="08BD6586"/>
    <w:rsid w:val="08DB6A0C"/>
    <w:rsid w:val="08FE1F89"/>
    <w:rsid w:val="092254AC"/>
    <w:rsid w:val="092403B3"/>
    <w:rsid w:val="09322AD0"/>
    <w:rsid w:val="093920B1"/>
    <w:rsid w:val="09B624A8"/>
    <w:rsid w:val="09B869FC"/>
    <w:rsid w:val="09CD0A4B"/>
    <w:rsid w:val="09E10052"/>
    <w:rsid w:val="09E8576A"/>
    <w:rsid w:val="09EF09C1"/>
    <w:rsid w:val="09F91840"/>
    <w:rsid w:val="0A3B3C06"/>
    <w:rsid w:val="0A531525"/>
    <w:rsid w:val="0AAE43D8"/>
    <w:rsid w:val="0B2C354F"/>
    <w:rsid w:val="0B316DB7"/>
    <w:rsid w:val="0B666A61"/>
    <w:rsid w:val="0B7A075E"/>
    <w:rsid w:val="0B7C6285"/>
    <w:rsid w:val="0BEA012F"/>
    <w:rsid w:val="0C2C7CAB"/>
    <w:rsid w:val="0C6F1585"/>
    <w:rsid w:val="0CB16A1B"/>
    <w:rsid w:val="0CD43E9E"/>
    <w:rsid w:val="0CF85DDF"/>
    <w:rsid w:val="0D223EE4"/>
    <w:rsid w:val="0D3112F1"/>
    <w:rsid w:val="0D3861DB"/>
    <w:rsid w:val="0D406A7C"/>
    <w:rsid w:val="0D584ACF"/>
    <w:rsid w:val="0D58687D"/>
    <w:rsid w:val="0D6671EC"/>
    <w:rsid w:val="0D9067AF"/>
    <w:rsid w:val="0D9C49BC"/>
    <w:rsid w:val="0DDC6E73"/>
    <w:rsid w:val="0DF378ED"/>
    <w:rsid w:val="0E0E518E"/>
    <w:rsid w:val="0E252C04"/>
    <w:rsid w:val="0E3A5F83"/>
    <w:rsid w:val="0E910299"/>
    <w:rsid w:val="0F136F00"/>
    <w:rsid w:val="0F2B249C"/>
    <w:rsid w:val="0F2F713D"/>
    <w:rsid w:val="0F317386"/>
    <w:rsid w:val="0F672951"/>
    <w:rsid w:val="0F9E1419"/>
    <w:rsid w:val="0FAC2EB1"/>
    <w:rsid w:val="0FE32D76"/>
    <w:rsid w:val="1024661F"/>
    <w:rsid w:val="10284C2D"/>
    <w:rsid w:val="109951E3"/>
    <w:rsid w:val="10C61D50"/>
    <w:rsid w:val="11052F7F"/>
    <w:rsid w:val="1123318D"/>
    <w:rsid w:val="11487E10"/>
    <w:rsid w:val="11991213"/>
    <w:rsid w:val="11A46535"/>
    <w:rsid w:val="11F72B09"/>
    <w:rsid w:val="12245FAF"/>
    <w:rsid w:val="12885CB0"/>
    <w:rsid w:val="13057CF3"/>
    <w:rsid w:val="13C7475D"/>
    <w:rsid w:val="13F866C4"/>
    <w:rsid w:val="13FA68E0"/>
    <w:rsid w:val="13FC7276"/>
    <w:rsid w:val="14072DAB"/>
    <w:rsid w:val="141C7F5A"/>
    <w:rsid w:val="148B578A"/>
    <w:rsid w:val="149503B7"/>
    <w:rsid w:val="149C1746"/>
    <w:rsid w:val="14CF1B1B"/>
    <w:rsid w:val="151C0C2B"/>
    <w:rsid w:val="15CE1DD3"/>
    <w:rsid w:val="15F0105B"/>
    <w:rsid w:val="162419F3"/>
    <w:rsid w:val="163634D4"/>
    <w:rsid w:val="163D5464"/>
    <w:rsid w:val="16881F81"/>
    <w:rsid w:val="169F77B7"/>
    <w:rsid w:val="16AA639C"/>
    <w:rsid w:val="17141FE9"/>
    <w:rsid w:val="172C5003"/>
    <w:rsid w:val="17485BB5"/>
    <w:rsid w:val="1758293B"/>
    <w:rsid w:val="17650082"/>
    <w:rsid w:val="17742506"/>
    <w:rsid w:val="177B105B"/>
    <w:rsid w:val="17AC1CA0"/>
    <w:rsid w:val="17EC02EE"/>
    <w:rsid w:val="181B5077"/>
    <w:rsid w:val="18271E00"/>
    <w:rsid w:val="18277E87"/>
    <w:rsid w:val="1840514B"/>
    <w:rsid w:val="184C3226"/>
    <w:rsid w:val="186E12F9"/>
    <w:rsid w:val="19045B0B"/>
    <w:rsid w:val="192C753C"/>
    <w:rsid w:val="19713BB5"/>
    <w:rsid w:val="198D78AF"/>
    <w:rsid w:val="19A57976"/>
    <w:rsid w:val="1A644AB4"/>
    <w:rsid w:val="1A8F5FA1"/>
    <w:rsid w:val="1ABF7F3C"/>
    <w:rsid w:val="1AF27ADB"/>
    <w:rsid w:val="1B0B4F2F"/>
    <w:rsid w:val="1B486183"/>
    <w:rsid w:val="1B9118D8"/>
    <w:rsid w:val="1B9238A2"/>
    <w:rsid w:val="1BAD5FE6"/>
    <w:rsid w:val="1BBB63DF"/>
    <w:rsid w:val="1BE42411"/>
    <w:rsid w:val="1C252021"/>
    <w:rsid w:val="1C4A7CD9"/>
    <w:rsid w:val="1D3E4A50"/>
    <w:rsid w:val="1D491D3F"/>
    <w:rsid w:val="1D5946FF"/>
    <w:rsid w:val="1D9C27B6"/>
    <w:rsid w:val="1E1B192D"/>
    <w:rsid w:val="1E4C5F8A"/>
    <w:rsid w:val="1E522E75"/>
    <w:rsid w:val="1E61503B"/>
    <w:rsid w:val="1E65704C"/>
    <w:rsid w:val="1EF859F5"/>
    <w:rsid w:val="1F0052CD"/>
    <w:rsid w:val="1F0E1492"/>
    <w:rsid w:val="1F3F789D"/>
    <w:rsid w:val="1F576995"/>
    <w:rsid w:val="1F88610E"/>
    <w:rsid w:val="1F925A93"/>
    <w:rsid w:val="1FA85442"/>
    <w:rsid w:val="20115C44"/>
    <w:rsid w:val="20280331"/>
    <w:rsid w:val="203942EC"/>
    <w:rsid w:val="20474C5B"/>
    <w:rsid w:val="206C021E"/>
    <w:rsid w:val="206F2316"/>
    <w:rsid w:val="20790B8D"/>
    <w:rsid w:val="20BE47F2"/>
    <w:rsid w:val="20E44C48"/>
    <w:rsid w:val="20F070A1"/>
    <w:rsid w:val="21805312"/>
    <w:rsid w:val="219914E7"/>
    <w:rsid w:val="21B06830"/>
    <w:rsid w:val="22123047"/>
    <w:rsid w:val="228E4DC3"/>
    <w:rsid w:val="22E744D4"/>
    <w:rsid w:val="23475944"/>
    <w:rsid w:val="23ED1676"/>
    <w:rsid w:val="23F944BF"/>
    <w:rsid w:val="241904A9"/>
    <w:rsid w:val="24594AFC"/>
    <w:rsid w:val="24725F8D"/>
    <w:rsid w:val="253432D4"/>
    <w:rsid w:val="253F644F"/>
    <w:rsid w:val="256A4F48"/>
    <w:rsid w:val="256B13EC"/>
    <w:rsid w:val="258C1362"/>
    <w:rsid w:val="259822C7"/>
    <w:rsid w:val="267B565F"/>
    <w:rsid w:val="26962499"/>
    <w:rsid w:val="26A76454"/>
    <w:rsid w:val="26B26BA7"/>
    <w:rsid w:val="26E472D4"/>
    <w:rsid w:val="271C5839"/>
    <w:rsid w:val="2745002A"/>
    <w:rsid w:val="27544D13"/>
    <w:rsid w:val="28506677"/>
    <w:rsid w:val="286A7641"/>
    <w:rsid w:val="28743C06"/>
    <w:rsid w:val="28996270"/>
    <w:rsid w:val="28CB4FE3"/>
    <w:rsid w:val="28D97DE6"/>
    <w:rsid w:val="29045528"/>
    <w:rsid w:val="29930F11"/>
    <w:rsid w:val="29E56D58"/>
    <w:rsid w:val="29E76B67"/>
    <w:rsid w:val="2A247DBB"/>
    <w:rsid w:val="2A88659C"/>
    <w:rsid w:val="2AC1560A"/>
    <w:rsid w:val="2AC33130"/>
    <w:rsid w:val="2AE553C9"/>
    <w:rsid w:val="2AF9470D"/>
    <w:rsid w:val="2B0C509B"/>
    <w:rsid w:val="2BA2368E"/>
    <w:rsid w:val="2BBD2276"/>
    <w:rsid w:val="2C5C1A8E"/>
    <w:rsid w:val="2C7049D5"/>
    <w:rsid w:val="2C8E3C12"/>
    <w:rsid w:val="2CA23219"/>
    <w:rsid w:val="2CC633AC"/>
    <w:rsid w:val="2DAE5D6C"/>
    <w:rsid w:val="2DBA6AC8"/>
    <w:rsid w:val="2E9C2616"/>
    <w:rsid w:val="2EAD721B"/>
    <w:rsid w:val="2ECD6C74"/>
    <w:rsid w:val="2F812CB5"/>
    <w:rsid w:val="2F911A4F"/>
    <w:rsid w:val="2FA57AF2"/>
    <w:rsid w:val="2FC83DBB"/>
    <w:rsid w:val="2FDD283B"/>
    <w:rsid w:val="30874251"/>
    <w:rsid w:val="3096051D"/>
    <w:rsid w:val="30B8125D"/>
    <w:rsid w:val="30D140CD"/>
    <w:rsid w:val="30F22893"/>
    <w:rsid w:val="314E4758"/>
    <w:rsid w:val="31603DCF"/>
    <w:rsid w:val="31992E3D"/>
    <w:rsid w:val="31B2734B"/>
    <w:rsid w:val="32255DA7"/>
    <w:rsid w:val="324519D6"/>
    <w:rsid w:val="326F4D70"/>
    <w:rsid w:val="33062754"/>
    <w:rsid w:val="3343559E"/>
    <w:rsid w:val="33602C69"/>
    <w:rsid w:val="33880594"/>
    <w:rsid w:val="33FE342B"/>
    <w:rsid w:val="340F3909"/>
    <w:rsid w:val="341837B7"/>
    <w:rsid w:val="342B1D46"/>
    <w:rsid w:val="34777F6D"/>
    <w:rsid w:val="34CB632C"/>
    <w:rsid w:val="355C6F55"/>
    <w:rsid w:val="356A0666"/>
    <w:rsid w:val="356E638F"/>
    <w:rsid w:val="35A3072E"/>
    <w:rsid w:val="35CC6B0E"/>
    <w:rsid w:val="35E30B2B"/>
    <w:rsid w:val="360D4655"/>
    <w:rsid w:val="364D2448"/>
    <w:rsid w:val="364F7F6E"/>
    <w:rsid w:val="365E6403"/>
    <w:rsid w:val="367774C5"/>
    <w:rsid w:val="367E6AA5"/>
    <w:rsid w:val="371C2460"/>
    <w:rsid w:val="3747333B"/>
    <w:rsid w:val="378200FC"/>
    <w:rsid w:val="379F4959"/>
    <w:rsid w:val="37CD3AE7"/>
    <w:rsid w:val="37E312B6"/>
    <w:rsid w:val="38981CA0"/>
    <w:rsid w:val="38EF5A38"/>
    <w:rsid w:val="38FF4C19"/>
    <w:rsid w:val="392C3E71"/>
    <w:rsid w:val="3958538C"/>
    <w:rsid w:val="39A46823"/>
    <w:rsid w:val="39CA37A1"/>
    <w:rsid w:val="3A0D43C8"/>
    <w:rsid w:val="3A40479E"/>
    <w:rsid w:val="3A712BA9"/>
    <w:rsid w:val="3AAF547F"/>
    <w:rsid w:val="3ACC7DDF"/>
    <w:rsid w:val="3B2C777D"/>
    <w:rsid w:val="3B825A78"/>
    <w:rsid w:val="3BD17677"/>
    <w:rsid w:val="3BF75330"/>
    <w:rsid w:val="3C2B35AF"/>
    <w:rsid w:val="3C850B8E"/>
    <w:rsid w:val="3D1A12F3"/>
    <w:rsid w:val="3D2008B6"/>
    <w:rsid w:val="3D3305EA"/>
    <w:rsid w:val="3D363110"/>
    <w:rsid w:val="3D601390"/>
    <w:rsid w:val="3D98669F"/>
    <w:rsid w:val="3DD35929"/>
    <w:rsid w:val="3DD82F3F"/>
    <w:rsid w:val="3E1D6BA4"/>
    <w:rsid w:val="3E961E15"/>
    <w:rsid w:val="3EA03A5D"/>
    <w:rsid w:val="3FAD7BE9"/>
    <w:rsid w:val="3FC14892"/>
    <w:rsid w:val="3FE536F1"/>
    <w:rsid w:val="40442B0E"/>
    <w:rsid w:val="408831F3"/>
    <w:rsid w:val="40A23390"/>
    <w:rsid w:val="40AB493B"/>
    <w:rsid w:val="4114603C"/>
    <w:rsid w:val="416C081A"/>
    <w:rsid w:val="4194717D"/>
    <w:rsid w:val="41B16375"/>
    <w:rsid w:val="42044303"/>
    <w:rsid w:val="42194104"/>
    <w:rsid w:val="42552DB0"/>
    <w:rsid w:val="42914953"/>
    <w:rsid w:val="42B07FE6"/>
    <w:rsid w:val="42CD6DEA"/>
    <w:rsid w:val="434120D6"/>
    <w:rsid w:val="4385253E"/>
    <w:rsid w:val="44380F71"/>
    <w:rsid w:val="448E765A"/>
    <w:rsid w:val="44D3620E"/>
    <w:rsid w:val="44DF1057"/>
    <w:rsid w:val="44FE772F"/>
    <w:rsid w:val="45017834"/>
    <w:rsid w:val="450E5498"/>
    <w:rsid w:val="452572E5"/>
    <w:rsid w:val="452D3B70"/>
    <w:rsid w:val="45530EBF"/>
    <w:rsid w:val="45963F72"/>
    <w:rsid w:val="46274B6F"/>
    <w:rsid w:val="462A5F6C"/>
    <w:rsid w:val="464919D5"/>
    <w:rsid w:val="46971BE9"/>
    <w:rsid w:val="46DD25E9"/>
    <w:rsid w:val="46F0567B"/>
    <w:rsid w:val="477F13E1"/>
    <w:rsid w:val="47867568"/>
    <w:rsid w:val="479A7BA8"/>
    <w:rsid w:val="47F92430"/>
    <w:rsid w:val="4861006C"/>
    <w:rsid w:val="49357497"/>
    <w:rsid w:val="495706DC"/>
    <w:rsid w:val="49830203"/>
    <w:rsid w:val="49836455"/>
    <w:rsid w:val="49CA09D9"/>
    <w:rsid w:val="4A62606A"/>
    <w:rsid w:val="4AB05B38"/>
    <w:rsid w:val="4AB55388"/>
    <w:rsid w:val="4AEF1CB8"/>
    <w:rsid w:val="4B054C48"/>
    <w:rsid w:val="4BC36F32"/>
    <w:rsid w:val="4BD25472"/>
    <w:rsid w:val="4C15535E"/>
    <w:rsid w:val="4C237A7B"/>
    <w:rsid w:val="4C3A59AD"/>
    <w:rsid w:val="4C771B75"/>
    <w:rsid w:val="4C820C46"/>
    <w:rsid w:val="4CFB575C"/>
    <w:rsid w:val="4D877542"/>
    <w:rsid w:val="4D8C1DA7"/>
    <w:rsid w:val="4DB34E2F"/>
    <w:rsid w:val="4DC31852"/>
    <w:rsid w:val="4DE533E9"/>
    <w:rsid w:val="4DEA4CF4"/>
    <w:rsid w:val="4DF07E31"/>
    <w:rsid w:val="4E6A1991"/>
    <w:rsid w:val="4EE5726A"/>
    <w:rsid w:val="4F6463E1"/>
    <w:rsid w:val="4F7B5474"/>
    <w:rsid w:val="4FA9473B"/>
    <w:rsid w:val="4FAD5FDA"/>
    <w:rsid w:val="4FE614EB"/>
    <w:rsid w:val="508538DE"/>
    <w:rsid w:val="50BC3FFA"/>
    <w:rsid w:val="50C70F9C"/>
    <w:rsid w:val="511A58F1"/>
    <w:rsid w:val="518C7E71"/>
    <w:rsid w:val="51937451"/>
    <w:rsid w:val="519805C3"/>
    <w:rsid w:val="520364C3"/>
    <w:rsid w:val="52863387"/>
    <w:rsid w:val="537A2677"/>
    <w:rsid w:val="53FC752F"/>
    <w:rsid w:val="542D593B"/>
    <w:rsid w:val="54B55930"/>
    <w:rsid w:val="54B903CE"/>
    <w:rsid w:val="54CD2E9C"/>
    <w:rsid w:val="54CF7C08"/>
    <w:rsid w:val="555D086C"/>
    <w:rsid w:val="55E0082E"/>
    <w:rsid w:val="5648247B"/>
    <w:rsid w:val="56DB59D9"/>
    <w:rsid w:val="571B7CCD"/>
    <w:rsid w:val="574B4F73"/>
    <w:rsid w:val="57572CCF"/>
    <w:rsid w:val="57700500"/>
    <w:rsid w:val="57783371"/>
    <w:rsid w:val="577D2735"/>
    <w:rsid w:val="57F3290C"/>
    <w:rsid w:val="57F4051E"/>
    <w:rsid w:val="581643E3"/>
    <w:rsid w:val="58207565"/>
    <w:rsid w:val="58B24661"/>
    <w:rsid w:val="58E30CBE"/>
    <w:rsid w:val="59376914"/>
    <w:rsid w:val="59515C5A"/>
    <w:rsid w:val="597638E0"/>
    <w:rsid w:val="59AE3B86"/>
    <w:rsid w:val="59F15B44"/>
    <w:rsid w:val="5A4309D9"/>
    <w:rsid w:val="5A551748"/>
    <w:rsid w:val="5A67147B"/>
    <w:rsid w:val="5A7E331D"/>
    <w:rsid w:val="5AFA7489"/>
    <w:rsid w:val="5AFE3B8D"/>
    <w:rsid w:val="5B135C07"/>
    <w:rsid w:val="5B1E7D8B"/>
    <w:rsid w:val="5BA26C0E"/>
    <w:rsid w:val="5BEC7E8A"/>
    <w:rsid w:val="5C275F60"/>
    <w:rsid w:val="5C7E7131"/>
    <w:rsid w:val="5D2B3C3E"/>
    <w:rsid w:val="5D8358FC"/>
    <w:rsid w:val="5D8F6D1E"/>
    <w:rsid w:val="5DBE4663"/>
    <w:rsid w:val="5DD010E5"/>
    <w:rsid w:val="5E6A32E8"/>
    <w:rsid w:val="5EBC2507"/>
    <w:rsid w:val="5ED35331"/>
    <w:rsid w:val="5EEC1674"/>
    <w:rsid w:val="5F385194"/>
    <w:rsid w:val="5F5E05A2"/>
    <w:rsid w:val="5FDC0215"/>
    <w:rsid w:val="600D1B42"/>
    <w:rsid w:val="60340051"/>
    <w:rsid w:val="60515E76"/>
    <w:rsid w:val="60636002"/>
    <w:rsid w:val="618E553F"/>
    <w:rsid w:val="61FE371C"/>
    <w:rsid w:val="620F6680"/>
    <w:rsid w:val="621D6667"/>
    <w:rsid w:val="62F557D9"/>
    <w:rsid w:val="644840CB"/>
    <w:rsid w:val="64BB489D"/>
    <w:rsid w:val="65426D6C"/>
    <w:rsid w:val="654B64F1"/>
    <w:rsid w:val="65B55812"/>
    <w:rsid w:val="65C013FE"/>
    <w:rsid w:val="65F53AEE"/>
    <w:rsid w:val="660404C6"/>
    <w:rsid w:val="66291CDA"/>
    <w:rsid w:val="663F32AC"/>
    <w:rsid w:val="66C537B1"/>
    <w:rsid w:val="67053426"/>
    <w:rsid w:val="67275527"/>
    <w:rsid w:val="677156E7"/>
    <w:rsid w:val="67902011"/>
    <w:rsid w:val="67C34BCE"/>
    <w:rsid w:val="67E97973"/>
    <w:rsid w:val="67FA4F30"/>
    <w:rsid w:val="6861575B"/>
    <w:rsid w:val="69165323"/>
    <w:rsid w:val="696115B0"/>
    <w:rsid w:val="69670B4F"/>
    <w:rsid w:val="699D27C3"/>
    <w:rsid w:val="69BD2E65"/>
    <w:rsid w:val="69CC12FA"/>
    <w:rsid w:val="6A145505"/>
    <w:rsid w:val="6A576E16"/>
    <w:rsid w:val="6A771266"/>
    <w:rsid w:val="6A8621B4"/>
    <w:rsid w:val="6AA67D9D"/>
    <w:rsid w:val="6ACA583A"/>
    <w:rsid w:val="6B064398"/>
    <w:rsid w:val="6B19056F"/>
    <w:rsid w:val="6B2B0A22"/>
    <w:rsid w:val="6B5E5F82"/>
    <w:rsid w:val="6BA73DCD"/>
    <w:rsid w:val="6BC95AF1"/>
    <w:rsid w:val="6BCE7BBD"/>
    <w:rsid w:val="6BF6440D"/>
    <w:rsid w:val="6C7208E9"/>
    <w:rsid w:val="6C755C79"/>
    <w:rsid w:val="6CF162CC"/>
    <w:rsid w:val="6D102048"/>
    <w:rsid w:val="6D2A2982"/>
    <w:rsid w:val="6D8A5754"/>
    <w:rsid w:val="6DC277D2"/>
    <w:rsid w:val="6DC41DD2"/>
    <w:rsid w:val="6DEB6B57"/>
    <w:rsid w:val="6DF21700"/>
    <w:rsid w:val="6E076DA5"/>
    <w:rsid w:val="6EBB4455"/>
    <w:rsid w:val="6ED70525"/>
    <w:rsid w:val="6F12155D"/>
    <w:rsid w:val="6F173018"/>
    <w:rsid w:val="6F186E4C"/>
    <w:rsid w:val="6F563B40"/>
    <w:rsid w:val="6F8A1A3C"/>
    <w:rsid w:val="701557A9"/>
    <w:rsid w:val="709C1A26"/>
    <w:rsid w:val="70A5382B"/>
    <w:rsid w:val="70AC60C1"/>
    <w:rsid w:val="70E51A1A"/>
    <w:rsid w:val="711128E2"/>
    <w:rsid w:val="71682BC8"/>
    <w:rsid w:val="71C64881"/>
    <w:rsid w:val="72646574"/>
    <w:rsid w:val="72AD1C5B"/>
    <w:rsid w:val="737F3C8B"/>
    <w:rsid w:val="73905147"/>
    <w:rsid w:val="740704ED"/>
    <w:rsid w:val="741A35F5"/>
    <w:rsid w:val="744079E7"/>
    <w:rsid w:val="7487479C"/>
    <w:rsid w:val="74960EE9"/>
    <w:rsid w:val="749B0247"/>
    <w:rsid w:val="74AE5547"/>
    <w:rsid w:val="74C432FA"/>
    <w:rsid w:val="74D177C5"/>
    <w:rsid w:val="74F71921"/>
    <w:rsid w:val="75146CE8"/>
    <w:rsid w:val="755E6196"/>
    <w:rsid w:val="75630D65"/>
    <w:rsid w:val="76360227"/>
    <w:rsid w:val="76E27660"/>
    <w:rsid w:val="7709593C"/>
    <w:rsid w:val="77A41F96"/>
    <w:rsid w:val="781E71C5"/>
    <w:rsid w:val="784A1D68"/>
    <w:rsid w:val="78A4010F"/>
    <w:rsid w:val="78BF49FB"/>
    <w:rsid w:val="78DD2BDC"/>
    <w:rsid w:val="78F71B30"/>
    <w:rsid w:val="791A3E30"/>
    <w:rsid w:val="79426EE3"/>
    <w:rsid w:val="7A654662"/>
    <w:rsid w:val="7B0D67CF"/>
    <w:rsid w:val="7B185A45"/>
    <w:rsid w:val="7B1D39A1"/>
    <w:rsid w:val="7BD04C7A"/>
    <w:rsid w:val="7BF070CA"/>
    <w:rsid w:val="7BF22E42"/>
    <w:rsid w:val="7C1903CF"/>
    <w:rsid w:val="7C9B68F5"/>
    <w:rsid w:val="7CD42548"/>
    <w:rsid w:val="7D3923AB"/>
    <w:rsid w:val="7D5611AF"/>
    <w:rsid w:val="7D823D52"/>
    <w:rsid w:val="7DA71A0B"/>
    <w:rsid w:val="7DB54128"/>
    <w:rsid w:val="7DDC070D"/>
    <w:rsid w:val="7DF52776"/>
    <w:rsid w:val="7E066731"/>
    <w:rsid w:val="7E113DB6"/>
    <w:rsid w:val="7E1878E9"/>
    <w:rsid w:val="7EBC14E6"/>
    <w:rsid w:val="7ED54355"/>
    <w:rsid w:val="7EFE1AFE"/>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5"/>
    <w:qFormat/>
    <w:uiPriority w:val="9"/>
    <w:pPr>
      <w:keepNext/>
      <w:keepLines/>
      <w:numPr>
        <w:ilvl w:val="0"/>
        <w:numId w:val="1"/>
      </w:numPr>
      <w:spacing w:before="0" w:after="0" w:line="360" w:lineRule="auto"/>
      <w:ind w:firstLine="0"/>
      <w:jc w:val="left"/>
    </w:pPr>
    <w:rPr>
      <w:rFonts w:ascii="Calibri" w:hAnsi="Calibri" w:cs="Times New Roman"/>
      <w:bCs/>
      <w:kern w:val="44"/>
      <w:sz w:val="36"/>
      <w:szCs w:val="36"/>
    </w:rPr>
  </w:style>
  <w:style w:type="paragraph" w:styleId="5">
    <w:name w:val="heading 2"/>
    <w:basedOn w:val="4"/>
    <w:next w:val="6"/>
    <w:qFormat/>
    <w:uiPriority w:val="9"/>
    <w:pPr>
      <w:tabs>
        <w:tab w:val="left" w:pos="425"/>
        <w:tab w:val="left" w:pos="560"/>
        <w:tab w:val="left" w:pos="840"/>
        <w:tab w:val="left" w:pos="993"/>
      </w:tabs>
      <w:spacing w:before="156" w:beforeLines="50" w:after="156" w:afterLines="50" w:line="360" w:lineRule="auto"/>
      <w:jc w:val="left"/>
      <w:outlineLvl w:val="1"/>
    </w:pPr>
    <w:rPr>
      <w:rFonts w:ascii="Calibri" w:hAnsi="Calibri" w:cs="Times New Roman"/>
      <w:sz w:val="32"/>
    </w:rPr>
  </w:style>
  <w:style w:type="paragraph" w:styleId="6">
    <w:name w:val="heading 3"/>
    <w:basedOn w:val="5"/>
    <w:next w:val="1"/>
    <w:qFormat/>
    <w:uiPriority w:val="9"/>
    <w:pPr>
      <w:tabs>
        <w:tab w:val="left" w:pos="1276"/>
      </w:tabs>
      <w:outlineLvl w:val="2"/>
    </w:pPr>
    <w:rPr>
      <w:bCs/>
      <w:sz w:val="30"/>
      <w:szCs w:val="3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widowControl/>
      <w:spacing w:before="100" w:beforeAutospacing="1" w:after="100" w:afterAutospacing="1"/>
      <w:jc w:val="left"/>
      <w:textAlignment w:val="baseline"/>
    </w:pPr>
    <w:rPr>
      <w:rFonts w:ascii="宋体" w:hAnsi="宋体" w:cs="Times New Roman"/>
      <w:b/>
      <w:bCs/>
      <w:kern w:val="0"/>
      <w:sz w:val="27"/>
      <w:szCs w:val="27"/>
    </w:rPr>
  </w:style>
  <w:style w:type="paragraph" w:styleId="4">
    <w:name w:val="Title"/>
    <w:basedOn w:val="1"/>
    <w:qFormat/>
    <w:uiPriority w:val="99"/>
    <w:pPr>
      <w:spacing w:before="240" w:after="60"/>
      <w:jc w:val="center"/>
      <w:outlineLvl w:val="0"/>
    </w:pPr>
    <w:rPr>
      <w:rFonts w:ascii="Arial" w:hAnsi="Arial" w:cs="Arial"/>
      <w:b/>
      <w:sz w:val="44"/>
      <w:szCs w:val="32"/>
    </w:rPr>
  </w:style>
  <w:style w:type="paragraph" w:styleId="7">
    <w:name w:val="annotation text"/>
    <w:basedOn w:val="1"/>
    <w:qFormat/>
    <w:uiPriority w:val="0"/>
    <w:pPr>
      <w:jc w:val="left"/>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snapToGrid w:val="0"/>
      <w:jc w:val="left"/>
    </w:pPr>
    <w:rPr>
      <w:sz w:val="18"/>
    </w:rPr>
  </w:style>
  <w:style w:type="paragraph" w:styleId="13">
    <w:name w:val="toc 2"/>
    <w:basedOn w:val="1"/>
    <w:next w:val="1"/>
    <w:qFormat/>
    <w:uiPriority w:val="39"/>
    <w:pPr>
      <w:ind w:left="420" w:leftChars="200"/>
    </w:pPr>
  </w:style>
  <w:style w:type="paragraph" w:styleId="14">
    <w:name w:val="Normal (Web)"/>
    <w:basedOn w:val="1"/>
    <w:link w:val="21"/>
    <w:unhideWhenUsed/>
    <w:qFormat/>
    <w:uiPriority w:val="99"/>
    <w:pPr>
      <w:widowControl/>
      <w:spacing w:before="100" w:beforeAutospacing="1" w:after="100" w:afterAutospacing="1"/>
      <w:jc w:val="left"/>
    </w:pPr>
    <w:rPr>
      <w:rFonts w:ascii="宋体" w:hAnsi="宋体" w:eastAsia="宋体" w:cs="宋体"/>
      <w:bCs/>
      <w:kern w:val="0"/>
      <w:sz w:val="24"/>
    </w:rPr>
  </w:style>
  <w:style w:type="character" w:styleId="17">
    <w:name w:val="Hyperlink"/>
    <w:basedOn w:val="16"/>
    <w:unhideWhenUsed/>
    <w:qFormat/>
    <w:uiPriority w:val="99"/>
    <w:rPr>
      <w:color w:val="0026E5" w:themeColor="hyperlink"/>
      <w:u w:val="single"/>
      <w14:textFill>
        <w14:solidFill>
          <w14:schemeClr w14:val="hlink"/>
        </w14:solidFill>
      </w14:textFill>
    </w:rPr>
  </w:style>
  <w:style w:type="character" w:styleId="18">
    <w:name w:val="footnote reference"/>
    <w:basedOn w:val="16"/>
    <w:qFormat/>
    <w:uiPriority w:val="0"/>
    <w:rPr>
      <w:vertAlign w:val="superscript"/>
    </w:rPr>
  </w:style>
  <w:style w:type="character" w:customStyle="1" w:styleId="19">
    <w:name w:val="页眉 字符"/>
    <w:basedOn w:val="16"/>
    <w:link w:val="10"/>
    <w:qFormat/>
    <w:uiPriority w:val="0"/>
    <w:rPr>
      <w:kern w:val="2"/>
      <w:sz w:val="18"/>
      <w:szCs w:val="18"/>
    </w:rPr>
  </w:style>
  <w:style w:type="paragraph" w:styleId="20">
    <w:name w:val="List Paragraph"/>
    <w:basedOn w:val="1"/>
    <w:unhideWhenUsed/>
    <w:qFormat/>
    <w:uiPriority w:val="99"/>
    <w:pPr>
      <w:ind w:firstLine="420" w:firstLineChars="200"/>
    </w:pPr>
  </w:style>
  <w:style w:type="character" w:customStyle="1" w:styleId="21">
    <w:name w:val="普通(网站) 字符"/>
    <w:link w:val="14"/>
    <w:qFormat/>
    <w:uiPriority w:val="99"/>
    <w:rPr>
      <w:rFonts w:ascii="宋体" w:hAnsi="宋体" w:eastAsia="宋体" w:cs="宋体"/>
      <w:bCs/>
      <w:sz w:val="24"/>
      <w:szCs w:val="24"/>
    </w:rPr>
  </w:style>
  <w:style w:type="character" w:customStyle="1" w:styleId="22">
    <w:name w:val="表格正文 Char"/>
    <w:link w:val="23"/>
    <w:qFormat/>
    <w:uiPriority w:val="0"/>
    <w:rPr>
      <w:kern w:val="2"/>
      <w:sz w:val="24"/>
      <w:szCs w:val="24"/>
    </w:rPr>
  </w:style>
  <w:style w:type="paragraph" w:customStyle="1" w:styleId="23">
    <w:name w:val="表格正文"/>
    <w:basedOn w:val="1"/>
    <w:link w:val="22"/>
    <w:qFormat/>
    <w:uiPriority w:val="0"/>
    <w:pPr>
      <w:jc w:val="center"/>
    </w:pPr>
    <w:rPr>
      <w:sz w:val="24"/>
    </w:rPr>
  </w:style>
  <w:style w:type="character" w:customStyle="1" w:styleId="24">
    <w:name w:val="表格表头 Char"/>
    <w:link w:val="25"/>
    <w:qFormat/>
    <w:uiPriority w:val="0"/>
    <w:rPr>
      <w:rFonts w:eastAsia="黑体" w:cs="宋体"/>
      <w:b/>
      <w:bCs/>
      <w:sz w:val="24"/>
      <w:szCs w:val="24"/>
    </w:rPr>
  </w:style>
  <w:style w:type="paragraph" w:customStyle="1" w:styleId="25">
    <w:name w:val="表格表头"/>
    <w:next w:val="1"/>
    <w:link w:val="24"/>
    <w:qFormat/>
    <w:uiPriority w:val="0"/>
    <w:pPr>
      <w:spacing w:before="120" w:after="40"/>
      <w:jc w:val="center"/>
    </w:pPr>
    <w:rPr>
      <w:rFonts w:eastAsia="黑体" w:cs="宋体" w:asciiTheme="minorHAnsi" w:hAnsiTheme="minorHAnsi"/>
      <w:b/>
      <w:bCs/>
      <w:sz w:val="24"/>
      <w:szCs w:val="24"/>
      <w:lang w:val="en-US" w:eastAsia="zh-CN" w:bidi="ar-SA"/>
    </w:r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4033</Words>
  <Characters>4100</Characters>
  <Lines>87</Lines>
  <Paragraphs>24</Paragraphs>
  <TotalTime>5</TotalTime>
  <ScaleCrop>false</ScaleCrop>
  <LinksUpToDate>false</LinksUpToDate>
  <CharactersWithSpaces>4129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2024-08-23T03:59:00Z</dcterms:created>
  <dc:creator>cuijs</dc:creator>
  <cp:lastModifiedBy>高利华</cp:lastModifiedBy>
  <dcterms:modified xsi:type="dcterms:W3CDTF">2026-01-12T04:33:12Z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3A6E87A5385B47F1A5B005205335538B</vt:lpwstr>
  </property>
  <property fmtid="{D5CDD505-2E9C-101B-9397-08002B2CF9AE}" pid="4" name="KSOTemplateDocerSaveRecord">
    <vt:lpwstr>eyJoZGlkIjoiMDc5ZmQ1NGNiZGZhZjI0NGE0NDA4Y2ZkMmU3NDNmMTMiLCJ1c2VySWQiOiI0NTkxMjIyNjgifQ==</vt:lpwstr>
  </property>
</Properties>
</file>